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color="auto" w:fill="FFFFFF"/>
        <w:spacing w:before="0" w:beforeAutospacing="0" w:after="0" w:afterAutospacing="0"/>
        <w:jc w:val="center"/>
        <w:rPr>
          <w:rFonts w:hint="default" w:ascii="方正小标宋简体" w:hAnsi="Tahoma" w:eastAsia="方正小标宋简体" w:cs="Tahoma"/>
          <w:color w:val="333333"/>
          <w:sz w:val="36"/>
          <w:szCs w:val="36"/>
          <w:lang w:val="en-US" w:eastAsia="zh-CN"/>
        </w:rPr>
      </w:pPr>
      <w:r>
        <w:rPr>
          <w:rFonts w:hint="eastAsia" w:ascii="方正小标宋简体" w:hAnsi="Tahoma" w:eastAsia="方正小标宋简体" w:cs="Tahoma"/>
          <w:color w:val="333333"/>
          <w:sz w:val="36"/>
          <w:szCs w:val="36"/>
        </w:rPr>
        <w:t>额尔古纳市烟草制品零售点合理布局规划</w:t>
      </w:r>
      <w:r>
        <w:rPr>
          <w:rFonts w:hint="eastAsia" w:ascii="方正小标宋简体" w:hAnsi="Tahoma" w:eastAsia="方正小标宋简体" w:cs="Tahoma"/>
          <w:color w:val="333333"/>
          <w:sz w:val="36"/>
          <w:szCs w:val="36"/>
          <w:lang w:val="en-US" w:eastAsia="zh-CN"/>
        </w:rPr>
        <w:t xml:space="preserve">  </w:t>
      </w:r>
      <w:bookmarkStart w:id="0" w:name="_GoBack"/>
      <w:bookmarkEnd w:id="0"/>
    </w:p>
    <w:p>
      <w:pPr>
        <w:pStyle w:val="4"/>
        <w:shd w:val="clear" w:color="auto" w:fill="FFFFFF"/>
        <w:spacing w:before="0" w:beforeAutospacing="0" w:after="0" w:afterAutospacing="0"/>
        <w:jc w:val="center"/>
        <w:rPr>
          <w:rFonts w:ascii="创艺简标宋" w:hAnsi="Tahoma" w:eastAsia="创艺简标宋" w:cs="Tahoma"/>
          <w:color w:val="333333"/>
          <w:sz w:val="36"/>
          <w:szCs w:val="36"/>
        </w:rPr>
      </w:pPr>
    </w:p>
    <w:p>
      <w:pPr>
        <w:pStyle w:val="4"/>
        <w:shd w:val="clear" w:color="auto" w:fill="FFFFFF"/>
        <w:spacing w:before="0" w:beforeAutospacing="0" w:after="0" w:afterAutospacing="0"/>
        <w:jc w:val="center"/>
        <w:rPr>
          <w:rFonts w:ascii="黑体" w:hAnsi="黑体" w:eastAsia="黑体" w:cs="Tahoma"/>
          <w:color w:val="000000" w:themeColor="text1"/>
          <w:sz w:val="32"/>
          <w:szCs w:val="32"/>
          <w14:textFill>
            <w14:solidFill>
              <w14:schemeClr w14:val="tx1"/>
            </w14:solidFill>
          </w14:textFill>
        </w:rPr>
      </w:pPr>
      <w:r>
        <w:rPr>
          <w:rFonts w:hint="eastAsia" w:ascii="黑体" w:hAnsi="黑体" w:eastAsia="黑体"/>
          <w:sz w:val="32"/>
          <w:szCs w:val="32"/>
        </w:rPr>
        <w:t>第一章 总则</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第一条</w:t>
      </w:r>
      <w:r>
        <w:rPr>
          <w:rFonts w:hint="eastAsia" w:ascii="仿宋_GB2312" w:hAnsi="Tahoma" w:eastAsia="仿宋_GB2312" w:cs="Tahoma"/>
          <w:color w:val="000000" w:themeColor="text1"/>
          <w:sz w:val="32"/>
          <w:szCs w:val="32"/>
          <w14:textFill>
            <w14:solidFill>
              <w14:schemeClr w14:val="tx1"/>
            </w14:solidFill>
          </w14:textFill>
        </w:rPr>
        <w:t>  为加强烟草专卖零售许可证管理，合理布局烟草制品零售点，维护良好的烟草市场秩序，保护公民、法人及其他组织的合法权益，根据《中华人民共和国行政许可法》《中华人民共和国未成年人保护法》《中华人民共和国烟草专卖法》及其实施条例和《烟草专卖许可证管理办法》等法律法规和规章规定，结合额尔古纳市实际，制定本规划。</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 xml:space="preserve">第二条  </w:t>
      </w:r>
      <w:r>
        <w:rPr>
          <w:rFonts w:hint="eastAsia" w:ascii="仿宋_GB2312" w:eastAsia="仿宋_GB2312" w:hAnsiTheme="minorEastAsia"/>
          <w:color w:val="000000" w:themeColor="text1"/>
          <w:sz w:val="32"/>
          <w:szCs w:val="32"/>
          <w14:textFill>
            <w14:solidFill>
              <w14:schemeClr w14:val="tx1"/>
            </w14:solidFill>
          </w14:textFill>
        </w:rPr>
        <w:t>本规划所称烟草制品零售点（以下简称“零售点”）是指依法申请取得烟草专卖零售许可证的公民、法人</w:t>
      </w:r>
      <w:r>
        <w:rPr>
          <w:rFonts w:hint="eastAsia" w:ascii="仿宋_GB2312" w:hAnsi="Tahoma" w:eastAsia="仿宋_GB2312" w:cs="Tahoma"/>
          <w:color w:val="000000" w:themeColor="text1"/>
          <w:sz w:val="32"/>
          <w:szCs w:val="32"/>
          <w14:textFill>
            <w14:solidFill>
              <w14:schemeClr w14:val="tx1"/>
            </w14:solidFill>
          </w14:textFill>
        </w:rPr>
        <w:t>和其他组织从事烟草制品零售业务的经营场所。</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第三条</w:t>
      </w:r>
      <w:r>
        <w:rPr>
          <w:rFonts w:hint="eastAsia" w:ascii="仿宋_GB2312" w:hAnsi="Tahoma" w:eastAsia="仿宋_GB2312" w:cs="Tahoma"/>
          <w:color w:val="000000" w:themeColor="text1"/>
          <w:sz w:val="32"/>
          <w:szCs w:val="32"/>
          <w14:textFill>
            <w14:solidFill>
              <w14:schemeClr w14:val="tx1"/>
            </w14:solidFill>
          </w14:textFill>
        </w:rPr>
        <w:t xml:space="preserve"> 本规划适用于额尔古纳市行政区域范围的烟草制品零售点的合理布局管理。</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 xml:space="preserve">第四条  </w:t>
      </w:r>
      <w:r>
        <w:rPr>
          <w:rFonts w:hint="eastAsia" w:ascii="仿宋_GB2312" w:hAnsi="Tahoma" w:eastAsia="仿宋_GB2312" w:cs="Tahoma"/>
          <w:color w:val="000000" w:themeColor="text1"/>
          <w:sz w:val="32"/>
          <w:szCs w:val="32"/>
          <w14:textFill>
            <w14:solidFill>
              <w14:schemeClr w14:val="tx1"/>
            </w14:solidFill>
          </w14:textFill>
        </w:rPr>
        <w:t>额尔古纳市烟草专卖局负责本行政区域内的烟草制品零售点合理布局规划实施。</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第五条</w:t>
      </w:r>
      <w:r>
        <w:rPr>
          <w:rFonts w:hint="eastAsia" w:ascii="仿宋_GB2312" w:hAnsi="Tahoma" w:eastAsia="仿宋_GB2312" w:cs="Tahoma"/>
          <w:color w:val="000000" w:themeColor="text1"/>
          <w:sz w:val="32"/>
          <w:szCs w:val="32"/>
          <w14:textFill>
            <w14:solidFill>
              <w14:schemeClr w14:val="tx1"/>
            </w14:solidFill>
          </w14:textFill>
        </w:rPr>
        <w:t>  本规划遵循依法依规、科学规范、服务社会、均衡发展的原则，根据辖区人口数量、交通状况、经济发展水平、消费能力等因素确定烟草制品零售点合理布局。</w:t>
      </w:r>
    </w:p>
    <w:p>
      <w:pPr>
        <w:pStyle w:val="4"/>
        <w:shd w:val="clear" w:color="auto" w:fill="FFFFFF"/>
        <w:spacing w:before="0" w:beforeAutospacing="0" w:after="0" w:afterAutospacing="0"/>
        <w:jc w:val="center"/>
        <w:rPr>
          <w:rFonts w:ascii="黑体" w:hAnsi="黑体" w:eastAsia="黑体" w:cs="Tahoma"/>
          <w:color w:val="000000" w:themeColor="text1"/>
          <w:sz w:val="32"/>
          <w:szCs w:val="32"/>
          <w14:textFill>
            <w14:solidFill>
              <w14:schemeClr w14:val="tx1"/>
            </w14:solidFill>
          </w14:textFill>
        </w:rPr>
      </w:pPr>
      <w:r>
        <w:rPr>
          <w:rFonts w:hint="eastAsia" w:ascii="黑体" w:hAnsi="黑体" w:eastAsia="黑体"/>
          <w:sz w:val="32"/>
          <w:szCs w:val="32"/>
        </w:rPr>
        <w:t>第二章 合理布局规划标准</w:t>
      </w:r>
    </w:p>
    <w:p>
      <w:pPr>
        <w:pStyle w:val="4"/>
        <w:shd w:val="clear" w:color="auto" w:fill="FFFFFF"/>
        <w:spacing w:before="0" w:beforeAutospacing="0" w:after="0" w:afterAutospacing="0"/>
        <w:ind w:firstLine="640" w:firstLineChars="200"/>
        <w:rPr>
          <w:rFonts w:ascii="仿宋_GB2312" w:eastAsia="仿宋_GB2312"/>
          <w:sz w:val="32"/>
          <w:szCs w:val="32"/>
        </w:rPr>
      </w:pPr>
      <w:r>
        <w:rPr>
          <w:rFonts w:hint="eastAsia" w:ascii="黑体" w:hAnsi="黑体" w:eastAsia="黑体" w:cs="Tahoma"/>
          <w:color w:val="000000" w:themeColor="text1"/>
          <w:sz w:val="32"/>
          <w:szCs w:val="32"/>
          <w14:textFill>
            <w14:solidFill>
              <w14:schemeClr w14:val="tx1"/>
            </w14:solidFill>
          </w14:textFill>
        </w:rPr>
        <w:t>第六条</w:t>
      </w:r>
      <w:r>
        <w:rPr>
          <w:rFonts w:hint="eastAsia" w:ascii="仿宋_GB2312" w:hAnsi="Tahoma" w:eastAsia="仿宋_GB2312" w:cs="Tahoma"/>
          <w:color w:val="000000" w:themeColor="text1"/>
          <w:sz w:val="32"/>
          <w:szCs w:val="32"/>
          <w14:textFill>
            <w14:solidFill>
              <w14:schemeClr w14:val="tx1"/>
            </w14:solidFill>
          </w14:textFill>
        </w:rPr>
        <w:t>   规划方式：根据额尔古纳市的</w:t>
      </w:r>
      <w:r>
        <w:rPr>
          <w:rFonts w:hint="eastAsia" w:ascii="仿宋_GB2312" w:eastAsia="仿宋_GB2312"/>
          <w:sz w:val="32"/>
          <w:szCs w:val="32"/>
        </w:rPr>
        <w:t>城镇居民居住区域的特点，结合城乡建设规划、市场类型、经济消费水平等因素，以城市交通道路、地形地貌、相对独立区域等将辖区平面区域自然划分出若干市场区域单元，针对划分出的市场区域单元分别规划零售点布局间距和数量标准。</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eastAsia="仿宋_GB2312"/>
          <w:sz w:val="32"/>
          <w:szCs w:val="32"/>
        </w:rPr>
        <w:t>有数量标准的市场区域单元</w:t>
      </w:r>
      <w:r>
        <w:rPr>
          <w:rFonts w:hint="eastAsia" w:ascii="仿宋_GB2312" w:hAnsi="Tahoma" w:eastAsia="仿宋_GB2312" w:cs="Tahoma"/>
          <w:color w:val="000000" w:themeColor="text1"/>
          <w:sz w:val="32"/>
          <w:szCs w:val="32"/>
          <w14:textFill>
            <w14:solidFill>
              <w14:schemeClr w14:val="tx1"/>
            </w14:solidFill>
          </w14:textFill>
        </w:rPr>
        <w:t>，以数量标准为上限，达到数量上限的，不予设置零售点。各市场区域单元内零售点仅作为本市场区域单元内零售点设置的参照项。</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 xml:space="preserve">第七条 </w:t>
      </w:r>
      <w:r>
        <w:rPr>
          <w:rFonts w:hint="eastAsia" w:ascii="仿宋_GB2312" w:eastAsia="仿宋_GB2312"/>
          <w:sz w:val="32"/>
          <w:szCs w:val="32"/>
        </w:rPr>
        <w:t>城区、乡（镇）政府所在地街道零售点规划标准：</w:t>
      </w:r>
      <w:r>
        <w:rPr>
          <w:rFonts w:ascii="仿宋_GB2312" w:hAnsi="Tahoma" w:eastAsia="仿宋_GB2312" w:cs="Tahoma"/>
          <w:color w:val="000000" w:themeColor="text1"/>
          <w:sz w:val="32"/>
          <w:szCs w:val="32"/>
          <w14:textFill>
            <w14:solidFill>
              <w14:schemeClr w14:val="tx1"/>
            </w14:solidFill>
          </w14:textFill>
        </w:rPr>
        <w:t xml:space="preserve"> </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（一） 间距与区域结合标准：城区街道零售点设置具体标准见《额尔古纳市城区街道零售点设置标准》（附表）。</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（二） 间距标准：</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1. 《额尔古纳市城区街道零售点设置标准》（附表）中未包含的城区街道零售点间距不得少于100米。</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 xml:space="preserve">2. </w:t>
      </w:r>
      <w:r>
        <w:rPr>
          <w:rFonts w:hint="eastAsia" w:ascii="仿宋_GB2312" w:eastAsia="仿宋_GB2312"/>
          <w:sz w:val="32"/>
          <w:szCs w:val="32"/>
        </w:rPr>
        <w:t>乡（镇）政府所在地街道两侧零售户间距不得少于50米。</w:t>
      </w:r>
    </w:p>
    <w:p>
      <w:pPr>
        <w:ind w:firstLine="640" w:firstLineChars="200"/>
        <w:rPr>
          <w:rFonts w:ascii="仿宋_GB2312" w:hAnsi="Tahoma" w:eastAsia="仿宋_GB2312" w:cs="Tahoma"/>
          <w:color w:val="000000" w:themeColor="text1"/>
          <w:kern w:val="0"/>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 xml:space="preserve">第八条 </w:t>
      </w:r>
      <w:r>
        <w:rPr>
          <w:rFonts w:hint="eastAsia" w:ascii="仿宋_GB2312" w:eastAsia="仿宋_GB2312"/>
          <w:sz w:val="32"/>
          <w:szCs w:val="32"/>
        </w:rPr>
        <w:t>其他市场区域单元零售点规划标准：</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（一）居民住宅区内，居民在</w:t>
      </w:r>
      <w:r>
        <w:rPr>
          <w:rFonts w:hint="eastAsia" w:ascii="仿宋_GB2312" w:eastAsia="仿宋_GB2312"/>
          <w:sz w:val="32"/>
          <w:szCs w:val="32"/>
        </w:rPr>
        <w:t>400户以下（不含）的不设立卷烟零售点，达到400户的可设立1个零售点，400户以上（不含）的每增加400户可增设1个烟草制品零售点</w:t>
      </w:r>
      <w:r>
        <w:rPr>
          <w:rFonts w:hint="eastAsia" w:ascii="仿宋_GB2312" w:hAnsi="Tahoma" w:eastAsia="仿宋_GB2312" w:cs="Tahoma"/>
          <w:color w:val="000000" w:themeColor="text1"/>
          <w:sz w:val="32"/>
          <w:szCs w:val="32"/>
          <w14:textFill>
            <w14:solidFill>
              <w14:schemeClr w14:val="tx1"/>
            </w14:solidFill>
          </w14:textFill>
        </w:rPr>
        <w:t>，且居民住宅区内零售点间距不少于100米。</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（二）行政村（含自然村、屯）按每80户居民设置一个零售点，80户以下的可以设置1个零售点，</w:t>
      </w:r>
      <w:r>
        <w:rPr>
          <w:rFonts w:hint="eastAsia" w:ascii="仿宋_GB2312" w:eastAsia="仿宋_GB2312"/>
          <w:sz w:val="32"/>
          <w:szCs w:val="32"/>
        </w:rPr>
        <w:t>每增加80户可增设1个烟草制品零售点</w:t>
      </w:r>
      <w:r>
        <w:rPr>
          <w:rFonts w:hint="eastAsia" w:ascii="仿宋_GB2312" w:hAnsi="Tahoma" w:eastAsia="仿宋_GB2312" w:cs="Tahoma"/>
          <w:color w:val="000000" w:themeColor="text1"/>
          <w:sz w:val="32"/>
          <w:szCs w:val="32"/>
          <w14:textFill>
            <w14:solidFill>
              <w14:schemeClr w14:val="tx1"/>
            </w14:solidFill>
          </w14:textFill>
        </w:rPr>
        <w:t>；</w:t>
      </w:r>
    </w:p>
    <w:p>
      <w:pPr>
        <w:snapToGrid w:val="0"/>
        <w:spacing w:line="360" w:lineRule="auto"/>
        <w:ind w:firstLine="640" w:firstLineChars="200"/>
        <w:rPr>
          <w:rFonts w:ascii="仿宋_GB2312" w:hAnsi="Times New Roman" w:eastAsia="仿宋_GB2312" w:cs="Times New Roman"/>
          <w:sz w:val="32"/>
          <w:szCs w:val="24"/>
        </w:rPr>
      </w:pPr>
      <w:r>
        <w:rPr>
          <w:rFonts w:hint="eastAsia" w:ascii="仿宋_GB2312" w:hAnsi="Tahoma" w:eastAsia="仿宋_GB2312" w:cs="Tahoma"/>
          <w:color w:val="000000" w:themeColor="text1"/>
          <w:sz w:val="32"/>
          <w:szCs w:val="32"/>
          <w14:textFill>
            <w14:solidFill>
              <w14:schemeClr w14:val="tx1"/>
            </w14:solidFill>
          </w14:textFill>
        </w:rPr>
        <w:t>（三）</w:t>
      </w:r>
      <w:r>
        <w:rPr>
          <w:rFonts w:hint="eastAsia" w:ascii="仿宋_GB2312" w:hAnsi="Times New Roman" w:eastAsia="仿宋_GB2312" w:cs="Times New Roman"/>
          <w:sz w:val="32"/>
          <w:szCs w:val="24"/>
        </w:rPr>
        <w:t>综合性批发市场、农副产品批发市场、以出租柜台为主要经营方式的大型商场，50个商户以下设1个烟草制品零售点，50个商户以上</w:t>
      </w:r>
      <w:r>
        <w:rPr>
          <w:rFonts w:hint="eastAsia" w:ascii="仿宋_GB2312" w:hAnsi="Times New Roman" w:eastAsia="仿宋_GB2312" w:cs="Times New Roman"/>
          <w:color w:val="000000"/>
          <w:sz w:val="32"/>
          <w:szCs w:val="24"/>
        </w:rPr>
        <w:t>每</w:t>
      </w:r>
      <w:r>
        <w:rPr>
          <w:rFonts w:hint="eastAsia" w:ascii="仿宋_GB2312" w:hAnsi="Times New Roman" w:eastAsia="仿宋_GB2312" w:cs="Times New Roman"/>
          <w:sz w:val="32"/>
          <w:szCs w:val="24"/>
        </w:rPr>
        <w:t>增加50个商户可增设1个烟草制品零售点，且各零售点之间的距离不得少于20米，以上批发市场、大型商场外围的门市店面，按所属市场区域单元标准执行。</w:t>
      </w:r>
    </w:p>
    <w:p>
      <w:pPr>
        <w:snapToGrid w:val="0"/>
        <w:spacing w:line="360" w:lineRule="auto"/>
        <w:ind w:firstLine="640" w:firstLineChars="200"/>
        <w:rPr>
          <w:rFonts w:ascii="仿宋_GB2312" w:hAnsi="Times New Roman" w:eastAsia="仿宋_GB2312" w:cs="Times New Roman"/>
          <w:sz w:val="32"/>
          <w:szCs w:val="24"/>
        </w:rPr>
      </w:pPr>
      <w:r>
        <w:rPr>
          <w:rFonts w:hint="eastAsia" w:ascii="仿宋_GB2312" w:hAnsi="Times New Roman" w:eastAsia="仿宋_GB2312" w:cs="Times New Roman"/>
          <w:sz w:val="32"/>
          <w:szCs w:val="24"/>
        </w:rPr>
        <w:t>（四）面积在3000平米以上非连锁的大型商场、购物中心、大型连锁经营商业企业及其分店可以设立1个烟草制品零售点。</w:t>
      </w:r>
    </w:p>
    <w:p>
      <w:pPr>
        <w:snapToGrid w:val="0"/>
        <w:spacing w:line="360" w:lineRule="auto"/>
        <w:ind w:firstLine="640" w:firstLineChars="200"/>
        <w:rPr>
          <w:rFonts w:hint="eastAsia"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（五）床位在200个以上的宾馆、旅店、公寓、酒店、度假村；经营面积在1500平米以上的饭店、KTV等其他相对封闭的休闲娱乐服务场所内，为满足停留在设施内特定顾客消费的需要，</w:t>
      </w:r>
      <w:r>
        <w:rPr>
          <w:rFonts w:hint="eastAsia" w:ascii="仿宋_GB2312" w:hAnsi="Times New Roman" w:eastAsia="仿宋_GB2312" w:cs="Times New Roman"/>
          <w:sz w:val="32"/>
          <w:szCs w:val="24"/>
        </w:rPr>
        <w:t>可以设立1个烟草制品零售点。</w:t>
      </w:r>
      <w:r>
        <w:rPr>
          <w:rFonts w:ascii="仿宋_GB2312" w:hAnsi="Tahoma" w:eastAsia="仿宋_GB2312" w:cs="Tahoma"/>
          <w:color w:val="000000" w:themeColor="text1"/>
          <w:sz w:val="32"/>
          <w:szCs w:val="32"/>
          <w14:textFill>
            <w14:solidFill>
              <w14:schemeClr w14:val="tx1"/>
            </w14:solidFill>
          </w14:textFill>
        </w:rPr>
        <w:t xml:space="preserve"> </w:t>
      </w:r>
    </w:p>
    <w:p>
      <w:pPr>
        <w:snapToGrid w:val="0"/>
        <w:spacing w:line="360" w:lineRule="auto"/>
        <w:ind w:firstLine="640" w:firstLineChars="200"/>
        <w:rPr>
          <w:rFonts w:ascii="仿宋_GB2312" w:hAnsi="Times New Roman" w:eastAsia="仿宋_GB2312" w:cs="Times New Roman"/>
          <w:sz w:val="32"/>
          <w:szCs w:val="24"/>
        </w:rPr>
      </w:pPr>
      <w:r>
        <w:rPr>
          <w:rFonts w:hint="eastAsia" w:ascii="仿宋_GB2312" w:hAnsi="Times New Roman" w:eastAsia="仿宋_GB2312" w:cs="Times New Roman"/>
          <w:sz w:val="32"/>
          <w:szCs w:val="24"/>
        </w:rPr>
        <w:t>（六）国家3A级标准以上（含3A）旅游景区内可以设立1个烟草制品零售点。</w:t>
      </w:r>
    </w:p>
    <w:p>
      <w:pPr>
        <w:snapToGrid w:val="0"/>
        <w:spacing w:line="360" w:lineRule="auto"/>
        <w:ind w:firstLine="640" w:firstLineChars="200"/>
        <w:rPr>
          <w:rFonts w:ascii="仿宋_GB2312" w:hAnsi="Times New Roman" w:eastAsia="仿宋_GB2312" w:cs="Times New Roman"/>
          <w:sz w:val="32"/>
          <w:szCs w:val="24"/>
        </w:rPr>
      </w:pPr>
      <w:r>
        <w:rPr>
          <w:rFonts w:hint="eastAsia" w:ascii="仿宋_GB2312" w:hAnsi="Tahoma" w:eastAsia="仿宋_GB2312" w:cs="Tahoma"/>
          <w:color w:val="000000" w:themeColor="text1"/>
          <w:sz w:val="32"/>
          <w:szCs w:val="32"/>
          <w14:textFill>
            <w14:solidFill>
              <w14:schemeClr w14:val="tx1"/>
            </w14:solidFill>
          </w14:textFill>
        </w:rPr>
        <w:t>（七）</w:t>
      </w:r>
      <w:r>
        <w:rPr>
          <w:rFonts w:hint="eastAsia" w:ascii="仿宋_GB2312" w:hAnsi="Times New Roman" w:eastAsia="仿宋_GB2312" w:cs="Times New Roman"/>
          <w:sz w:val="32"/>
          <w:szCs w:val="24"/>
        </w:rPr>
        <w:t>汽车站的候车室内可以设立1个烟草制品零售点。</w:t>
      </w:r>
    </w:p>
    <w:p>
      <w:pPr>
        <w:snapToGrid w:val="0"/>
        <w:spacing w:line="360" w:lineRule="auto"/>
        <w:ind w:firstLine="640" w:firstLineChars="200"/>
        <w:rPr>
          <w:rFonts w:ascii="仿宋_GB2312" w:hAnsi="Tahoma" w:eastAsia="仿宋_GB2312" w:cs="Tahoma"/>
          <w:color w:val="000000" w:themeColor="text1"/>
          <w:sz w:val="32"/>
          <w:szCs w:val="32"/>
          <w14:textFill>
            <w14:solidFill>
              <w14:schemeClr w14:val="tx1"/>
            </w14:solidFill>
          </w14:textFill>
        </w:rPr>
      </w:pP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 xml:space="preserve">第九条 </w:t>
      </w:r>
      <w:r>
        <w:rPr>
          <w:rFonts w:hint="eastAsia" w:ascii="仿宋_GB2312" w:hAnsi="Tahoma" w:eastAsia="仿宋_GB2312" w:cs="Tahoma"/>
          <w:color w:val="000000" w:themeColor="text1"/>
          <w:sz w:val="32"/>
          <w:szCs w:val="32"/>
          <w14:textFill>
            <w14:solidFill>
              <w14:schemeClr w14:val="tx1"/>
            </w14:solidFill>
          </w14:textFill>
        </w:rPr>
        <w:t>具有下列情形之一的，不予设置烟草制品零售点：</w:t>
      </w:r>
    </w:p>
    <w:p>
      <w:pPr>
        <w:pStyle w:val="4"/>
        <w:shd w:val="clear" w:color="auto" w:fill="FFFFFF"/>
        <w:spacing w:before="0" w:beforeAutospacing="0" w:after="0" w:afterAutospacing="0"/>
        <w:ind w:left="105" w:leftChars="50" w:firstLine="480" w:firstLineChars="15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（一）经营或存储易燃、易爆、有毒、有害、放射性商品等基于安全因素不适宜经营烟草制品零售业务的场所；</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（二）经营场所位于</w:t>
      </w:r>
      <w:r>
        <w:rPr>
          <w:rFonts w:hint="eastAsia" w:ascii="仿宋_GB2312" w:hAnsi="Hiragino Sans GB W3" w:eastAsia="仿宋_GB2312"/>
          <w:sz w:val="32"/>
          <w:szCs w:val="32"/>
        </w:rPr>
        <w:t>中小学校、幼儿园</w:t>
      </w:r>
      <w:r>
        <w:rPr>
          <w:rFonts w:hint="eastAsia" w:ascii="仿宋_GB2312" w:hAnsi="Tahoma" w:eastAsia="仿宋_GB2312" w:cs="Tahoma"/>
          <w:color w:val="000000" w:themeColor="text1"/>
          <w:sz w:val="32"/>
          <w:szCs w:val="32"/>
          <w14:textFill>
            <w14:solidFill>
              <w14:schemeClr w14:val="tx1"/>
            </w14:solidFill>
          </w14:textFill>
        </w:rPr>
        <w:t>进出通道口（常年关闭的消防通道除外）中心点步行可通行最短距离100米范围内以及中小学校、幼儿园内部的；</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（三）利用自动售货机（柜）或者其他自动售货形式，销售或者变相销售烟草制品的经营场所；</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（四）利用信息网络经营烟草制品的；</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（五）党政机关、医疗机构内部；</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（六）法律、法规、规章规定的不予设置零售点的其他情形。</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第十条</w:t>
      </w:r>
      <w:r>
        <w:rPr>
          <w:rFonts w:hint="eastAsia" w:ascii="仿宋_GB2312" w:hAnsi="Tahoma" w:eastAsia="仿宋_GB2312" w:cs="Tahoma"/>
          <w:color w:val="000000" w:themeColor="text1"/>
          <w:sz w:val="32"/>
          <w:szCs w:val="32"/>
          <w14:textFill>
            <w14:solidFill>
              <w14:schemeClr w14:val="tx1"/>
            </w14:solidFill>
          </w14:textFill>
        </w:rPr>
        <w:t>  符合下列情形之一且不属于本规划第九条规定情形的，不受间距标准和数量标准限制：</w:t>
      </w:r>
    </w:p>
    <w:p>
      <w:pPr>
        <w:pStyle w:val="4"/>
        <w:shd w:val="clear" w:color="auto" w:fill="FFFFFF"/>
        <w:spacing w:before="0" w:beforeAutospacing="0" w:after="0" w:afterAutospacing="0"/>
        <w:ind w:firstLine="636" w:firstLineChars="199"/>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（一）具有自主经营能力和民事行为能力的</w:t>
      </w:r>
      <w:r>
        <w:rPr>
          <w:rFonts w:hint="eastAsia" w:ascii="仿宋_GB2312" w:eastAsia="仿宋_GB2312" w:hAnsiTheme="minorEastAsia"/>
          <w:color w:val="000000" w:themeColor="text1"/>
          <w:sz w:val="32"/>
          <w:szCs w:val="32"/>
          <w14:textFill>
            <w14:solidFill>
              <w14:schemeClr w14:val="tx1"/>
            </w14:solidFill>
          </w14:textFill>
        </w:rPr>
        <w:t>烈士遗属、残疾人</w:t>
      </w:r>
      <w:r>
        <w:rPr>
          <w:rFonts w:hint="eastAsia" w:ascii="仿宋_GB2312" w:hAnsi="Tahoma" w:eastAsia="仿宋_GB2312" w:cs="Tahoma"/>
          <w:color w:val="000000" w:themeColor="text1"/>
          <w:sz w:val="32"/>
          <w:szCs w:val="32"/>
          <w14:textFill>
            <w14:solidFill>
              <w14:schemeClr w14:val="tx1"/>
            </w14:solidFill>
          </w14:textFill>
        </w:rPr>
        <w:t>（除精神残疾、智力残疾外）、低保户等社会弱势群体、优抚对象的申请人，经审核确认后，</w:t>
      </w:r>
      <w:r>
        <w:rPr>
          <w:rFonts w:hint="eastAsia" w:ascii="仿宋_GB2312" w:eastAsia="仿宋_GB2312" w:hAnsiTheme="minorEastAsia"/>
          <w:color w:val="000000" w:themeColor="text1"/>
          <w:sz w:val="32"/>
          <w:szCs w:val="32"/>
          <w14:textFill>
            <w14:solidFill>
              <w14:schemeClr w14:val="tx1"/>
            </w14:solidFill>
          </w14:textFill>
        </w:rPr>
        <w:t>一个有效证件只可以办理一个烟草专卖零售许可证</w:t>
      </w:r>
      <w:r>
        <w:rPr>
          <w:rFonts w:hint="eastAsia" w:ascii="仿宋_GB2312" w:hAnsi="Tahoma" w:eastAsia="仿宋_GB2312" w:cs="Tahoma"/>
          <w:color w:val="000000" w:themeColor="text1"/>
          <w:sz w:val="32"/>
          <w:szCs w:val="32"/>
          <w14:textFill>
            <w14:solidFill>
              <w14:schemeClr w14:val="tx1"/>
            </w14:solidFill>
          </w14:textFill>
        </w:rPr>
        <w:t>，必须本人经营。持有《残疾人证》的可由监护人在店中辅助经营（合伙经营、雇佣经营除外）。</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（二）因道路规划、城市建设等客观原因造成无法在核定经营地址经营，持证人申请变更到原发证机关辖区内其他地址经营的；</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（三）本规划实施前已设立的零售点位于中小学校、幼儿园周围的持证零售户或因客观原因造成经营场所位于</w:t>
      </w:r>
      <w:r>
        <w:rPr>
          <w:rFonts w:hint="eastAsia" w:ascii="仿宋_GB2312" w:hAnsi="Hiragino Sans GB W3" w:eastAsia="仿宋_GB2312"/>
          <w:sz w:val="32"/>
          <w:szCs w:val="32"/>
        </w:rPr>
        <w:t>中小学校、幼儿园</w:t>
      </w:r>
      <w:r>
        <w:rPr>
          <w:rFonts w:hint="eastAsia" w:ascii="仿宋_GB2312" w:hAnsi="Tahoma" w:eastAsia="仿宋_GB2312" w:cs="Tahoma"/>
          <w:color w:val="000000" w:themeColor="text1"/>
          <w:sz w:val="32"/>
          <w:szCs w:val="32"/>
          <w14:textFill>
            <w14:solidFill>
              <w14:schemeClr w14:val="tx1"/>
            </w14:solidFill>
          </w14:textFill>
        </w:rPr>
        <w:t>进出通道口（常年关闭的消防通道除外）步行可通行最短距离100米范围内，主动迁址经营的，原许可证有效期届满前在原发证机关辖区内重新申领许可证的；</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（四）国家明文规定给予政策扶持照顾的其他情形。</w:t>
      </w:r>
    </w:p>
    <w:p>
      <w:pPr>
        <w:ind w:firstLine="640" w:firstLineChars="200"/>
        <w:rPr>
          <w:rFonts w:ascii="仿宋_GB2312" w:hAnsi="Tahoma" w:eastAsia="仿宋_GB2312" w:cs="Tahoma"/>
          <w:color w:val="000000" w:themeColor="text1"/>
          <w:kern w:val="0"/>
          <w:sz w:val="32"/>
          <w:szCs w:val="32"/>
          <w14:textFill>
            <w14:solidFill>
              <w14:schemeClr w14:val="tx1"/>
            </w14:solidFill>
          </w14:textFill>
        </w:rPr>
      </w:pPr>
      <w:r>
        <w:rPr>
          <w:rFonts w:hint="eastAsia" w:ascii="黑体" w:hAnsi="黑体" w:eastAsia="黑体" w:cs="Tahoma"/>
          <w:color w:val="000000" w:themeColor="text1"/>
          <w:kern w:val="0"/>
          <w:sz w:val="32"/>
          <w:szCs w:val="32"/>
          <w14:textFill>
            <w14:solidFill>
              <w14:schemeClr w14:val="tx1"/>
            </w14:solidFill>
          </w14:textFill>
        </w:rPr>
        <w:t>第十一条</w:t>
      </w:r>
      <w:r>
        <w:rPr>
          <w:rFonts w:hint="eastAsia" w:ascii="仿宋_GB2312" w:hAnsi="Tahoma" w:eastAsia="仿宋_GB2312" w:cs="Tahoma"/>
          <w:color w:val="000000" w:themeColor="text1"/>
          <w:kern w:val="0"/>
          <w:sz w:val="32"/>
          <w:szCs w:val="32"/>
          <w14:textFill>
            <w14:solidFill>
              <w14:schemeClr w14:val="tx1"/>
            </w14:solidFill>
          </w14:textFill>
        </w:rPr>
        <w:t xml:space="preserve">  已合法持有烟草专卖零售许可证的零售户，在许可证有效期内不受所在地烟草制品零售点合理布局规划调整的影响。</w:t>
      </w:r>
    </w:p>
    <w:p>
      <w:pPr>
        <w:ind w:firstLine="640" w:firstLineChars="200"/>
        <w:rPr>
          <w:rFonts w:ascii="仿宋_GB2312" w:hAnsi="Tahoma" w:eastAsia="仿宋_GB2312" w:cs="Tahoma"/>
          <w:color w:val="000000" w:themeColor="text1"/>
          <w:kern w:val="0"/>
          <w:sz w:val="32"/>
          <w:szCs w:val="32"/>
          <w14:textFill>
            <w14:solidFill>
              <w14:schemeClr w14:val="tx1"/>
            </w14:solidFill>
          </w14:textFill>
        </w:rPr>
      </w:pPr>
      <w:r>
        <w:rPr>
          <w:rFonts w:hint="eastAsia" w:ascii="仿宋_GB2312" w:hAnsi="Tahoma" w:eastAsia="仿宋_GB2312" w:cs="Tahoma"/>
          <w:color w:val="000000" w:themeColor="text1"/>
          <w:kern w:val="0"/>
          <w:sz w:val="32"/>
          <w:szCs w:val="32"/>
          <w14:textFill>
            <w14:solidFill>
              <w14:schemeClr w14:val="tx1"/>
            </w14:solidFill>
          </w14:textFill>
        </w:rPr>
        <w:t>持证人办理延续申请，除经营场所的安全要求和</w:t>
      </w:r>
      <w:r>
        <w:rPr>
          <w:rFonts w:hint="eastAsia" w:ascii="仿宋_GB2312" w:hAnsi="Hiragino Sans GB W3" w:eastAsia="仿宋_GB2312" w:cs="宋体"/>
          <w:sz w:val="32"/>
          <w:szCs w:val="32"/>
        </w:rPr>
        <w:t>中小学校、幼儿园</w:t>
      </w:r>
      <w:r>
        <w:rPr>
          <w:rFonts w:hint="eastAsia" w:ascii="仿宋_GB2312" w:hAnsi="Tahoma" w:eastAsia="仿宋_GB2312" w:cs="Tahoma"/>
          <w:color w:val="000000" w:themeColor="text1"/>
          <w:kern w:val="0"/>
          <w:sz w:val="32"/>
          <w:szCs w:val="32"/>
          <w14:textFill>
            <w14:solidFill>
              <w14:schemeClr w14:val="tx1"/>
            </w14:solidFill>
          </w14:textFill>
        </w:rPr>
        <w:t>周围的限制规定外，不受所在地烟草制品零售点合理布局规划其他规定调整的影响。</w:t>
      </w:r>
    </w:p>
    <w:p>
      <w:pPr>
        <w:jc w:val="center"/>
        <w:rPr>
          <w:rFonts w:ascii="黑体" w:hAnsi="黑体" w:eastAsia="黑体"/>
          <w:sz w:val="32"/>
          <w:szCs w:val="32"/>
        </w:rPr>
      </w:pPr>
      <w:r>
        <w:rPr>
          <w:rFonts w:hint="eastAsia" w:ascii="黑体" w:hAnsi="黑体" w:eastAsia="黑体"/>
          <w:sz w:val="32"/>
          <w:szCs w:val="32"/>
        </w:rPr>
        <w:t>第三章 附则</w:t>
      </w:r>
    </w:p>
    <w:p>
      <w:pPr>
        <w:ind w:firstLine="640" w:firstLineChars="200"/>
        <w:rPr>
          <w:rFonts w:ascii="仿宋_GB2312" w:hAnsi="Hiragino Sans GB W3" w:eastAsia="仿宋_GB2312" w:cs="宋体"/>
          <w:sz w:val="32"/>
          <w:szCs w:val="32"/>
        </w:rPr>
      </w:pPr>
      <w:r>
        <w:rPr>
          <w:rFonts w:hint="eastAsia" w:ascii="黑体" w:hAnsi="黑体" w:eastAsia="黑体" w:cs="Tahoma"/>
          <w:color w:val="000000" w:themeColor="text1"/>
          <w:kern w:val="0"/>
          <w:sz w:val="32"/>
          <w:szCs w:val="32"/>
          <w14:textFill>
            <w14:solidFill>
              <w14:schemeClr w14:val="tx1"/>
            </w14:solidFill>
          </w14:textFill>
        </w:rPr>
        <w:t xml:space="preserve">第十二条 </w:t>
      </w:r>
      <w:r>
        <w:rPr>
          <w:rFonts w:hint="eastAsia" w:ascii="仿宋_GB2312" w:hAnsi="Tahoma" w:eastAsia="仿宋_GB2312" w:cs="Tahoma"/>
          <w:color w:val="000000" w:themeColor="text1"/>
          <w:kern w:val="0"/>
          <w:sz w:val="32"/>
          <w:szCs w:val="32"/>
          <w14:textFill>
            <w14:solidFill>
              <w14:schemeClr w14:val="tx1"/>
            </w14:solidFill>
          </w14:textFill>
        </w:rPr>
        <w:t>本规划</w:t>
      </w:r>
      <w:r>
        <w:rPr>
          <w:rFonts w:hint="eastAsia" w:ascii="仿宋_GB2312" w:hAnsi="Hiragino Sans GB W3" w:eastAsia="仿宋_GB2312" w:cs="宋体"/>
          <w:sz w:val="32"/>
          <w:szCs w:val="32"/>
        </w:rPr>
        <w:t>中“城区”是指额尔古纳市市政府所在地。</w:t>
      </w:r>
    </w:p>
    <w:p>
      <w:pPr>
        <w:ind w:firstLine="640" w:firstLineChars="200"/>
        <w:rPr>
          <w:rFonts w:ascii="仿宋_GB2312" w:hAnsi="Tahoma" w:eastAsia="仿宋_GB2312" w:cs="Tahoma"/>
          <w:color w:val="000000" w:themeColor="text1"/>
          <w:kern w:val="0"/>
          <w:sz w:val="32"/>
          <w:szCs w:val="32"/>
          <w14:textFill>
            <w14:solidFill>
              <w14:schemeClr w14:val="tx1"/>
            </w14:solidFill>
          </w14:textFill>
        </w:rPr>
      </w:pPr>
      <w:r>
        <w:rPr>
          <w:rFonts w:hint="eastAsia" w:ascii="黑体" w:hAnsi="黑体" w:eastAsia="黑体" w:cs="Tahoma"/>
          <w:color w:val="000000" w:themeColor="text1"/>
          <w:kern w:val="0"/>
          <w:sz w:val="32"/>
          <w:szCs w:val="32"/>
          <w14:textFill>
            <w14:solidFill>
              <w14:schemeClr w14:val="tx1"/>
            </w14:solidFill>
          </w14:textFill>
        </w:rPr>
        <w:t>第十三条</w:t>
      </w:r>
      <w:r>
        <w:rPr>
          <w:rFonts w:hint="eastAsia" w:ascii="仿宋_GB2312" w:hAnsi="Tahoma" w:eastAsia="仿宋_GB2312" w:cs="Tahoma"/>
          <w:color w:val="000000" w:themeColor="text1"/>
          <w:kern w:val="0"/>
          <w:sz w:val="32"/>
          <w:szCs w:val="32"/>
          <w14:textFill>
            <w14:solidFill>
              <w14:schemeClr w14:val="tx1"/>
            </w14:solidFill>
          </w14:textFill>
        </w:rPr>
        <w:t>  烟草专卖零售许可按照先申请、先受理的原则，按照先后顺序进行审批，所属区域单元达到数量上限之后，除符合本规划第十条规定的情形以外，对其他申请将不再准予许可。</w:t>
      </w:r>
    </w:p>
    <w:p>
      <w:pPr>
        <w:ind w:firstLine="640" w:firstLineChars="200"/>
        <w:rPr>
          <w:rFonts w:ascii="仿宋_GB2312" w:hAnsi="Tahoma" w:eastAsia="仿宋_GB2312" w:cs="Tahoma"/>
          <w:color w:val="000000" w:themeColor="text1"/>
          <w:kern w:val="0"/>
          <w:sz w:val="32"/>
          <w:szCs w:val="32"/>
          <w14:textFill>
            <w14:solidFill>
              <w14:schemeClr w14:val="tx1"/>
            </w14:solidFill>
          </w14:textFill>
        </w:rPr>
      </w:pPr>
      <w:r>
        <w:rPr>
          <w:rFonts w:hint="eastAsia" w:ascii="黑体" w:hAnsi="黑体" w:eastAsia="黑体" w:cs="Tahoma"/>
          <w:color w:val="000000" w:themeColor="text1"/>
          <w:kern w:val="0"/>
          <w:sz w:val="32"/>
          <w:szCs w:val="32"/>
          <w14:textFill>
            <w14:solidFill>
              <w14:schemeClr w14:val="tx1"/>
            </w14:solidFill>
          </w14:textFill>
        </w:rPr>
        <w:t xml:space="preserve">第十四条 </w:t>
      </w:r>
      <w:r>
        <w:rPr>
          <w:rFonts w:hint="eastAsia" w:ascii="仿宋_GB2312" w:hAnsi="Tahoma" w:eastAsia="仿宋_GB2312" w:cs="Tahoma"/>
          <w:color w:val="000000" w:themeColor="text1"/>
          <w:kern w:val="0"/>
          <w:sz w:val="32"/>
          <w:szCs w:val="32"/>
          <w14:textFill>
            <w14:solidFill>
              <w14:schemeClr w14:val="tx1"/>
            </w14:solidFill>
          </w14:textFill>
        </w:rPr>
        <w:t>本规划中的“间距”是指拟申请零售点与参照点（其周边最近的已取得烟草专卖零售许可证的零售点）之间依法可通行最短距离，多个门的以最近的距离为准。</w:t>
      </w:r>
    </w:p>
    <w:p>
      <w:pPr>
        <w:ind w:firstLine="640" w:firstLineChars="200"/>
        <w:rPr>
          <w:rFonts w:ascii="仿宋_GB2312" w:eastAsia="仿宋_GB2312" w:cs="宋体" w:hAnsiTheme="minorEastAsia"/>
          <w:color w:val="000000" w:themeColor="text1"/>
          <w:sz w:val="32"/>
          <w:szCs w:val="32"/>
          <w14:textFill>
            <w14:solidFill>
              <w14:schemeClr w14:val="tx1"/>
            </w14:solidFill>
          </w14:textFill>
        </w:rPr>
      </w:pPr>
      <w:r>
        <w:rPr>
          <w:rFonts w:hint="eastAsia" w:ascii="黑体" w:hAnsi="黑体" w:eastAsia="黑体" w:cs="Tahoma"/>
          <w:color w:val="000000" w:themeColor="text1"/>
          <w:kern w:val="0"/>
          <w:sz w:val="32"/>
          <w:szCs w:val="32"/>
          <w14:textFill>
            <w14:solidFill>
              <w14:schemeClr w14:val="tx1"/>
            </w14:solidFill>
          </w14:textFill>
        </w:rPr>
        <w:t>第十五条</w:t>
      </w:r>
      <w:r>
        <w:rPr>
          <w:rFonts w:hint="eastAsia" w:ascii="仿宋_GB2312" w:hAnsi="Tahoma" w:eastAsia="仿宋_GB2312" w:cs="Tahoma"/>
          <w:color w:val="000000" w:themeColor="text1"/>
          <w:kern w:val="0"/>
          <w:sz w:val="32"/>
          <w:szCs w:val="32"/>
          <w14:textFill>
            <w14:solidFill>
              <w14:schemeClr w14:val="tx1"/>
            </w14:solidFill>
          </w14:textFill>
        </w:rPr>
        <w:t>  本规划中的</w:t>
      </w:r>
      <w:r>
        <w:rPr>
          <w:rFonts w:hint="eastAsia" w:ascii="仿宋_GB2312" w:hAnsi="Hiragino Sans GB W3" w:eastAsia="仿宋_GB2312" w:cs="宋体"/>
          <w:sz w:val="32"/>
          <w:szCs w:val="32"/>
        </w:rPr>
        <w:t>中小学校，</w:t>
      </w:r>
      <w:r>
        <w:rPr>
          <w:rFonts w:hint="eastAsia" w:ascii="仿宋_GB2312" w:hAnsi="Tahoma" w:eastAsia="仿宋_GB2312" w:cs="Tahoma"/>
          <w:color w:val="000000" w:themeColor="text1"/>
          <w:kern w:val="0"/>
          <w:sz w:val="32"/>
          <w:szCs w:val="32"/>
          <w14:textFill>
            <w14:solidFill>
              <w14:schemeClr w14:val="tx1"/>
            </w14:solidFill>
          </w14:textFill>
        </w:rPr>
        <w:t>是指普通中小学校、特殊教育学校、</w:t>
      </w:r>
      <w:r>
        <w:rPr>
          <w:rFonts w:hint="eastAsia" w:ascii="仿宋_GB2312" w:eastAsia="仿宋_GB2312" w:cs="宋体" w:hAnsiTheme="minorEastAsia"/>
          <w:color w:val="000000" w:themeColor="text1"/>
          <w:sz w:val="32"/>
          <w:szCs w:val="32"/>
          <w14:textFill>
            <w14:solidFill>
              <w14:schemeClr w14:val="tx1"/>
            </w14:solidFill>
          </w14:textFill>
        </w:rPr>
        <w:t>中等职业学校、专门学校。</w:t>
      </w:r>
    </w:p>
    <w:p>
      <w:pPr>
        <w:ind w:firstLine="640" w:firstLineChars="200"/>
        <w:rPr>
          <w:rFonts w:ascii="仿宋_GB2312" w:eastAsia="仿宋_GB2312" w:cs="宋体" w:hAnsiTheme="minorEastAsia"/>
          <w:color w:val="000000" w:themeColor="text1"/>
          <w:sz w:val="32"/>
          <w:szCs w:val="32"/>
          <w14:textFill>
            <w14:solidFill>
              <w14:schemeClr w14:val="tx1"/>
            </w14:solidFill>
          </w14:textFill>
        </w:rPr>
      </w:pPr>
      <w:r>
        <w:rPr>
          <w:rFonts w:hint="eastAsia" w:ascii="仿宋_GB2312" w:hAnsi="Tahoma" w:eastAsia="仿宋_GB2312" w:cs="Tahoma"/>
          <w:color w:val="000000" w:themeColor="text1"/>
          <w:kern w:val="0"/>
          <w:sz w:val="32"/>
          <w:szCs w:val="32"/>
          <w14:textFill>
            <w14:solidFill>
              <w14:schemeClr w14:val="tx1"/>
            </w14:solidFill>
          </w14:textFill>
        </w:rPr>
        <w:t>本规划中的</w:t>
      </w:r>
      <w:r>
        <w:rPr>
          <w:rFonts w:hint="eastAsia" w:ascii="仿宋_GB2312" w:hAnsi="Hiragino Sans GB W3" w:eastAsia="仿宋_GB2312" w:cs="宋体"/>
          <w:sz w:val="32"/>
          <w:szCs w:val="32"/>
        </w:rPr>
        <w:t>幼儿园，是指</w:t>
      </w:r>
      <w:r>
        <w:rPr>
          <w:rFonts w:hint="eastAsia" w:ascii="仿宋_GB2312" w:eastAsia="仿宋_GB2312" w:cs="宋体" w:hAnsiTheme="minorEastAsia"/>
          <w:color w:val="000000" w:themeColor="text1"/>
          <w:sz w:val="32"/>
          <w:szCs w:val="32"/>
          <w14:textFill>
            <w14:solidFill>
              <w14:schemeClr w14:val="tx1"/>
            </w14:solidFill>
          </w14:textFill>
        </w:rPr>
        <w:t>经教育行政部门批准实施幼儿教育的机构。</w:t>
      </w:r>
    </w:p>
    <w:p>
      <w:pPr>
        <w:ind w:firstLine="640" w:firstLineChars="200"/>
        <w:rPr>
          <w:rFonts w:ascii="仿宋_GB2312" w:eastAsia="仿宋_GB2312" w:cs="宋体" w:hAnsiTheme="minorEastAsia"/>
          <w:color w:val="000000" w:themeColor="text1"/>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 xml:space="preserve">第十六条 </w:t>
      </w:r>
      <w:r>
        <w:rPr>
          <w:rFonts w:hint="eastAsia" w:ascii="仿宋_GB2312" w:eastAsia="仿宋_GB2312" w:cs="宋体" w:hAnsiTheme="minorEastAsia"/>
          <w:color w:val="000000" w:themeColor="text1"/>
          <w:sz w:val="32"/>
          <w:szCs w:val="32"/>
          <w14:textFill>
            <w14:solidFill>
              <w14:schemeClr w14:val="tx1"/>
            </w14:solidFill>
          </w14:textFill>
        </w:rPr>
        <w:t>本规划中的“以上”、“以下”、“内”均包含本数。</w:t>
      </w:r>
    </w:p>
    <w:p>
      <w:pPr>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 xml:space="preserve">第十七条 </w:t>
      </w:r>
      <w:r>
        <w:rPr>
          <w:rFonts w:hint="eastAsia" w:ascii="仿宋_GB2312" w:hAnsi="Hiragino Sans GB W3" w:eastAsia="仿宋_GB2312" w:cs="宋体"/>
          <w:sz w:val="32"/>
          <w:szCs w:val="32"/>
        </w:rPr>
        <w:t>烟草制品零售点合理布局实行定期评价、动态管理。根据社会情形的变化，“额尔古纳市烟草制品零售点合理布局管理委员会”可对局部区域零售点布局数量进行调整，并公告实施。</w:t>
      </w:r>
    </w:p>
    <w:p>
      <w:pPr>
        <w:ind w:firstLine="640" w:firstLineChars="200"/>
        <w:rPr>
          <w:rFonts w:ascii="仿宋_GB2312" w:eastAsia="仿宋_GB2312" w:cs="宋体" w:hAnsiTheme="minorEastAsia"/>
          <w:color w:val="000000" w:themeColor="text1"/>
          <w:sz w:val="32"/>
          <w:szCs w:val="32"/>
          <w14:textFill>
            <w14:solidFill>
              <w14:schemeClr w14:val="tx1"/>
            </w14:solidFill>
          </w14:textFill>
        </w:rPr>
      </w:pP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 xml:space="preserve">第十八条 </w:t>
      </w:r>
      <w:r>
        <w:rPr>
          <w:rFonts w:hint="eastAsia" w:ascii="仿宋_GB2312" w:hAnsi="Tahoma" w:eastAsia="仿宋_GB2312" w:cs="Tahoma"/>
          <w:color w:val="000000" w:themeColor="text1"/>
          <w:sz w:val="32"/>
          <w:szCs w:val="32"/>
          <w14:textFill>
            <w14:solidFill>
              <w14:schemeClr w14:val="tx1"/>
            </w14:solidFill>
          </w14:textFill>
        </w:rPr>
        <w:t>本</w:t>
      </w:r>
      <w:r>
        <w:rPr>
          <w:rFonts w:hint="eastAsia" w:ascii="仿宋_GB2312" w:eastAsia="仿宋_GB2312" w:hAnsiTheme="minorEastAsia"/>
          <w:color w:val="000000" w:themeColor="text1"/>
          <w:sz w:val="32"/>
          <w:szCs w:val="32"/>
          <w14:textFill>
            <w14:solidFill>
              <w14:schemeClr w14:val="tx1"/>
            </w14:solidFill>
          </w14:textFill>
        </w:rPr>
        <w:t>规划</w:t>
      </w:r>
      <w:r>
        <w:rPr>
          <w:rFonts w:hint="eastAsia" w:ascii="仿宋_GB2312" w:hAnsi="Tahoma" w:eastAsia="仿宋_GB2312" w:cs="Tahoma"/>
          <w:color w:val="000000" w:themeColor="text1"/>
          <w:sz w:val="32"/>
          <w:szCs w:val="32"/>
          <w14:textFill>
            <w14:solidFill>
              <w14:schemeClr w14:val="tx1"/>
            </w14:solidFill>
          </w14:textFill>
        </w:rPr>
        <w:t>由额尔古纳市烟草专卖局负责解释。</w:t>
      </w:r>
    </w:p>
    <w:p>
      <w:pPr>
        <w:pStyle w:val="4"/>
        <w:shd w:val="clear" w:color="auto" w:fill="FFFFFF"/>
        <w:spacing w:before="0" w:beforeAutospacing="0" w:after="0" w:afterAutospacing="0"/>
        <w:ind w:firstLine="640" w:firstLineChars="200"/>
        <w:rPr>
          <w:rFonts w:ascii="仿宋_GB2312" w:hAnsi="Tahoma" w:eastAsia="仿宋_GB2312" w:cs="Tahoma"/>
          <w:color w:val="000000" w:themeColor="text1"/>
          <w:sz w:val="32"/>
          <w:szCs w:val="32"/>
          <w14:textFill>
            <w14:solidFill>
              <w14:schemeClr w14:val="tx1"/>
            </w14:solidFill>
          </w14:textFill>
        </w:rPr>
      </w:pPr>
      <w:r>
        <w:rPr>
          <w:rFonts w:hint="eastAsia" w:ascii="黑体" w:hAnsi="黑体" w:eastAsia="黑体" w:cs="Tahoma"/>
          <w:color w:val="000000" w:themeColor="text1"/>
          <w:sz w:val="32"/>
          <w:szCs w:val="32"/>
          <w14:textFill>
            <w14:solidFill>
              <w14:schemeClr w14:val="tx1"/>
            </w14:solidFill>
          </w14:textFill>
        </w:rPr>
        <w:t xml:space="preserve">第十九条 </w:t>
      </w:r>
      <w:r>
        <w:rPr>
          <w:rFonts w:hint="eastAsia" w:ascii="仿宋_GB2312" w:hAnsi="Tahoma" w:eastAsia="仿宋_GB2312" w:cs="Tahoma"/>
          <w:color w:val="000000" w:themeColor="text1"/>
          <w:sz w:val="32"/>
          <w:szCs w:val="32"/>
          <w14:textFill>
            <w14:solidFill>
              <w14:schemeClr w14:val="tx1"/>
            </w14:solidFill>
          </w14:textFill>
        </w:rPr>
        <w:t>本</w:t>
      </w:r>
      <w:r>
        <w:rPr>
          <w:rFonts w:hint="eastAsia" w:ascii="仿宋_GB2312" w:eastAsia="仿宋_GB2312" w:hAnsiTheme="minorEastAsia"/>
          <w:color w:val="000000" w:themeColor="text1"/>
          <w:sz w:val="32"/>
          <w:szCs w:val="32"/>
          <w14:textFill>
            <w14:solidFill>
              <w14:schemeClr w14:val="tx1"/>
            </w14:solidFill>
          </w14:textFill>
        </w:rPr>
        <w:t>规划</w:t>
      </w:r>
      <w:r>
        <w:rPr>
          <w:rFonts w:hint="eastAsia" w:ascii="仿宋_GB2312" w:hAnsi="Tahoma" w:eastAsia="仿宋_GB2312" w:cs="Tahoma"/>
          <w:color w:val="000000" w:themeColor="text1"/>
          <w:sz w:val="32"/>
          <w:szCs w:val="32"/>
          <w14:textFill>
            <w14:solidFill>
              <w14:schemeClr w14:val="tx1"/>
            </w14:solidFill>
          </w14:textFill>
        </w:rPr>
        <w:t>自公告之日起30日后施行。2020年2月10日制定的《额尔古纳市烟草专卖局烟草制品零售点合理布局规划》同时废止。</w:t>
      </w:r>
    </w:p>
    <w:p>
      <w:pPr>
        <w:pStyle w:val="4"/>
        <w:shd w:val="clear" w:color="auto" w:fill="FFFFFF"/>
        <w:spacing w:before="0" w:beforeAutospacing="0" w:after="0" w:afterAutospacing="0"/>
        <w:rPr>
          <w:rFonts w:ascii="创艺简标宋" w:hAnsi="Tahoma" w:eastAsia="创艺简标宋" w:cs="Tahoma"/>
          <w:color w:val="000000" w:themeColor="text1"/>
          <w:sz w:val="36"/>
          <w:szCs w:val="36"/>
          <w14:textFill>
            <w14:solidFill>
              <w14:schemeClr w14:val="tx1"/>
            </w14:solidFill>
          </w14:textFill>
        </w:rPr>
      </w:pPr>
      <w:r>
        <w:rPr>
          <w:rFonts w:hint="eastAsia" w:ascii="仿宋_GB2312" w:hAnsi="Tahoma" w:eastAsia="仿宋_GB2312" w:cs="Tahoma"/>
          <w:color w:val="000000" w:themeColor="text1"/>
          <w:sz w:val="32"/>
          <w:szCs w:val="32"/>
          <w14:textFill>
            <w14:solidFill>
              <w14:schemeClr w14:val="tx1"/>
            </w14:solidFill>
          </w14:textFill>
        </w:rPr>
        <w:t>附表：《额尔古纳市城区街道零售点设置标准》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创艺简标宋">
    <w:altName w:val="方正兰亭超细黑简体"/>
    <w:panose1 w:val="00000000000000000000"/>
    <w:charset w:val="86"/>
    <w:family w:val="auto"/>
    <w:pitch w:val="default"/>
    <w:sig w:usb0="00000000" w:usb1="00000000" w:usb2="0000001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Hiragino Sans GB W3">
    <w:altName w:val="方正公文小标宋"/>
    <w:panose1 w:val="00000000000000000000"/>
    <w:charset w:val="00"/>
    <w:family w:val="swiss"/>
    <w:pitch w:val="default"/>
    <w:sig w:usb0="00000000" w:usb1="00000000" w:usb2="00000016" w:usb3="00000000" w:csb0="00060007" w:csb1="00000000"/>
  </w:font>
  <w:font w:name="方正公文小标宋">
    <w:panose1 w:val="02000500000000000000"/>
    <w:charset w:val="86"/>
    <w:family w:val="auto"/>
    <w:pitch w:val="default"/>
    <w:sig w:usb0="A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2OTYxMTliY2U5ZWUwZTZjNWI2MDJlNjkzMjgwMDYifQ=="/>
  </w:docVars>
  <w:rsids>
    <w:rsidRoot w:val="00940AF1"/>
    <w:rsid w:val="000961A3"/>
    <w:rsid w:val="000A5C84"/>
    <w:rsid w:val="001235F5"/>
    <w:rsid w:val="00154E27"/>
    <w:rsid w:val="001567F2"/>
    <w:rsid w:val="00202B4E"/>
    <w:rsid w:val="00252540"/>
    <w:rsid w:val="003C5C12"/>
    <w:rsid w:val="006E4ACD"/>
    <w:rsid w:val="00707576"/>
    <w:rsid w:val="00744E9C"/>
    <w:rsid w:val="00852003"/>
    <w:rsid w:val="008B5423"/>
    <w:rsid w:val="00940AF1"/>
    <w:rsid w:val="009C3A75"/>
    <w:rsid w:val="009D2140"/>
    <w:rsid w:val="00AF7594"/>
    <w:rsid w:val="00C83A48"/>
    <w:rsid w:val="00CF6E43"/>
    <w:rsid w:val="00D2097F"/>
    <w:rsid w:val="00D64CC9"/>
    <w:rsid w:val="00E96D2F"/>
    <w:rsid w:val="00EE5E47"/>
    <w:rsid w:val="00EF163E"/>
    <w:rsid w:val="00F058B9"/>
    <w:rsid w:val="00F93F1D"/>
    <w:rsid w:val="16517B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qFormat/>
    <w:uiPriority w:val="99"/>
    <w:rPr>
      <w:sz w:val="18"/>
      <w:szCs w:val="18"/>
    </w:rPr>
  </w:style>
  <w:style w:type="character" w:customStyle="1" w:styleId="8">
    <w:name w:val="页脚 Char"/>
    <w:basedOn w:val="6"/>
    <w:link w:val="2"/>
    <w:qFormat/>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2471</Words>
  <Characters>2514</Characters>
  <Lines>18</Lines>
  <Paragraphs>5</Paragraphs>
  <TotalTime>137</TotalTime>
  <ScaleCrop>false</ScaleCrop>
  <LinksUpToDate>false</LinksUpToDate>
  <CharactersWithSpaces>2552</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2021-08-31T08:46:00Z</dcterms:created>
  <dc:creator>张引</dc:creator>
  <cp:lastModifiedBy>雪茄</cp:lastModifiedBy>
  <dcterms:modified xsi:type="dcterms:W3CDTF">2022-11-03T06:36:34Z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EF7A8E78E9B84689A2AFA8C88D463EF3</vt:lpwstr>
  </property>
</Properties>
</file>