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jc w:val="center"/>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jc w:val="center"/>
        <w:textAlignment w:val="baseline"/>
        <w:rPr>
          <w:rFonts w:hint="eastAsia" w:ascii="黑体" w:hAnsi="黑体" w:eastAsia="黑体" w:cs="黑体"/>
          <w:sz w:val="44"/>
          <w:szCs w:val="44"/>
          <w:highlight w:val="none"/>
        </w:rPr>
      </w:pPr>
      <w:r>
        <w:rPr>
          <w:rFonts w:hint="eastAsia" w:ascii="黑体" w:hAnsi="黑体" w:eastAsia="黑体" w:cs="黑体"/>
          <w:sz w:val="44"/>
          <w:szCs w:val="44"/>
          <w:highlight w:val="none"/>
        </w:rPr>
        <w:t>《广安社区活动场所建设项目》</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jc w:val="center"/>
        <w:textAlignment w:val="baseline"/>
        <w:rPr>
          <w:rFonts w:hint="eastAsia" w:ascii="黑体" w:hAnsi="黑体" w:eastAsia="黑体" w:cs="黑体"/>
          <w:sz w:val="44"/>
          <w:szCs w:val="44"/>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jc w:val="center"/>
        <w:textAlignment w:val="baseline"/>
        <w:rPr>
          <w:rFonts w:hint="eastAsia" w:ascii="黑体" w:hAnsi="黑体" w:eastAsia="黑体" w:cs="黑体"/>
          <w:sz w:val="44"/>
          <w:szCs w:val="44"/>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jc w:val="center"/>
        <w:textAlignment w:val="baseline"/>
        <w:rPr>
          <w:rFonts w:hint="eastAsia" w:ascii="黑体" w:hAnsi="黑体" w:eastAsia="黑体" w:cs="黑体"/>
          <w:sz w:val="44"/>
          <w:szCs w:val="44"/>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jc w:val="center"/>
        <w:textAlignment w:val="baseline"/>
        <w:rPr>
          <w:rFonts w:hint="eastAsia" w:ascii="黑体" w:hAnsi="黑体" w:eastAsia="黑体" w:cs="黑体"/>
          <w:sz w:val="44"/>
          <w:szCs w:val="44"/>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jc w:val="center"/>
        <w:textAlignment w:val="baseline"/>
        <w:rPr>
          <w:rFonts w:hint="eastAsia" w:ascii="黑体" w:hAnsi="黑体" w:eastAsia="黑体" w:cs="黑体"/>
          <w:sz w:val="44"/>
          <w:szCs w:val="44"/>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jc w:val="center"/>
        <w:textAlignment w:val="baseline"/>
        <w:rPr>
          <w:rFonts w:hint="eastAsia" w:ascii="黑体" w:hAnsi="黑体" w:eastAsia="黑体" w:cs="黑体"/>
          <w:sz w:val="44"/>
          <w:szCs w:val="44"/>
          <w:highlight w:val="none"/>
        </w:rPr>
      </w:pPr>
      <w:r>
        <w:rPr>
          <w:rFonts w:hint="eastAsia" w:ascii="黑体" w:hAnsi="黑体" w:eastAsia="黑体" w:cs="黑体"/>
          <w:sz w:val="44"/>
          <w:szCs w:val="44"/>
          <w:highlight w:val="none"/>
        </w:rPr>
        <w:t>招标文件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880" w:firstLineChars="200"/>
        <w:textAlignment w:val="baseline"/>
        <w:rPr>
          <w:rFonts w:hint="eastAsia" w:ascii="黑体" w:hAnsi="黑体" w:eastAsia="黑体" w:cs="黑体"/>
          <w:sz w:val="44"/>
          <w:szCs w:val="44"/>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jc w:val="center"/>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采购单位名称：额尔古纳市拉布大林街道办事处</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jc w:val="center"/>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jc w:val="center"/>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项目编号：【202</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】001</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jc w:val="center"/>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jc w:val="center"/>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202</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年06月</w:t>
      </w:r>
      <w:r>
        <w:rPr>
          <w:rFonts w:hint="eastAsia" w:ascii="仿宋" w:hAnsi="仿宋" w:eastAsia="仿宋" w:cs="仿宋"/>
          <w:sz w:val="32"/>
          <w:szCs w:val="32"/>
          <w:highlight w:val="none"/>
          <w:lang w:val="en-US" w:eastAsia="zh-CN"/>
        </w:rPr>
        <w:t>25</w:t>
      </w:r>
      <w:r>
        <w:rPr>
          <w:rFonts w:hint="eastAsia" w:ascii="仿宋" w:hAnsi="仿宋" w:eastAsia="仿宋" w:cs="仿宋"/>
          <w:sz w:val="32"/>
          <w:szCs w:val="32"/>
          <w:highlight w:val="none"/>
        </w:rPr>
        <w:t>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420" w:firstLineChars="200"/>
        <w:textAlignment w:val="baseline"/>
        <w:rPr>
          <w:rFonts w:hint="eastAsia"/>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420" w:firstLineChars="200"/>
        <w:textAlignment w:val="baseline"/>
        <w:rPr>
          <w:rFonts w:hint="eastAsia"/>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420" w:firstLineChars="200"/>
        <w:textAlignment w:val="baseline"/>
        <w:rPr>
          <w:rFonts w:hint="eastAsia"/>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420" w:firstLineChars="200"/>
        <w:textAlignment w:val="baseline"/>
        <w:rPr>
          <w:rFonts w:hint="eastAsia"/>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420" w:firstLineChars="200"/>
        <w:textAlignment w:val="baseline"/>
        <w:rPr>
          <w:rFonts w:hint="eastAsia"/>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420" w:firstLineChars="200"/>
        <w:textAlignment w:val="baseline"/>
        <w:rPr>
          <w:rFonts w:hint="eastAsia"/>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目 录</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第一章 基本要求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第二章 供应商须知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第三章 采购内容与技术要求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第四章 供应商资格证明及相关文件要求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第五章 评审</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第六章 合同与验收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第七章 响应文件格式与要求</w:t>
      </w: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第一章 基本要求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拉布大林街道办事处采用询价方式组织进行《广安社区活动场所建设项目》，欢迎符合资格条件的供应商前来参加。</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一、项目概述</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1.名称与编号</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项目名称：广安社区活动场所建设项目</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项目编号：【202</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】001</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内容</w:t>
      </w:r>
      <w:r>
        <w:rPr>
          <w:rFonts w:hint="eastAsia" w:ascii="仿宋" w:hAnsi="仿宋" w:eastAsia="仿宋" w:cs="仿宋"/>
          <w:sz w:val="32"/>
          <w:szCs w:val="32"/>
          <w:highlight w:val="none"/>
          <w:lang w:eastAsia="zh-CN"/>
        </w:rPr>
        <w:t>：</w:t>
      </w:r>
    </w:p>
    <w:p>
      <w:pPr>
        <w:pStyle w:val="2"/>
        <w:numPr>
          <w:ilvl w:val="0"/>
          <w:numId w:val="0"/>
        </w:numPr>
        <w:ind w:leftChars="200"/>
        <w:rPr>
          <w:rFonts w:hint="eastAsia"/>
          <w:highlight w:val="none"/>
        </w:rPr>
      </w:pPr>
    </w:p>
    <w:tbl>
      <w:tblPr>
        <w:tblStyle w:val="7"/>
        <w:tblW w:w="10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0"/>
        <w:gridCol w:w="943"/>
        <w:gridCol w:w="4217"/>
        <w:gridCol w:w="2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2580"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货物、服务或工程名称</w:t>
            </w:r>
          </w:p>
        </w:tc>
        <w:tc>
          <w:tcPr>
            <w:tcW w:w="94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数量</w:t>
            </w:r>
          </w:p>
        </w:tc>
        <w:tc>
          <w:tcPr>
            <w:tcW w:w="421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技术规格、参数及要求</w:t>
            </w:r>
          </w:p>
        </w:tc>
        <w:tc>
          <w:tcPr>
            <w:tcW w:w="2580"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预算金额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2580"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广安社区活动场所建设项目</w:t>
            </w:r>
          </w:p>
        </w:tc>
        <w:tc>
          <w:tcPr>
            <w:tcW w:w="94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1</w:t>
            </w:r>
          </w:p>
        </w:tc>
        <w:tc>
          <w:tcPr>
            <w:tcW w:w="421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_GB2312" w:hAnsi="仿宋_GB2312" w:eastAsia="仿宋_GB2312" w:cs="仿宋_GB2312"/>
                <w:sz w:val="32"/>
                <w:szCs w:val="32"/>
              </w:rPr>
              <w:t>对广安社区进行采暖维修（包括更换暖气片），地面维修，办公楼外墙维修、安装套装木门、卫生间改造</w:t>
            </w:r>
            <w:bookmarkStart w:id="0" w:name="_GoBack"/>
            <w:bookmarkEnd w:id="0"/>
            <w:r>
              <w:rPr>
                <w:rFonts w:hint="eastAsia" w:ascii="仿宋_GB2312" w:hAnsi="仿宋_GB2312" w:eastAsia="仿宋_GB2312" w:cs="仿宋_GB2312"/>
                <w:sz w:val="32"/>
                <w:szCs w:val="32"/>
              </w:rPr>
              <w:t>等。</w:t>
            </w:r>
          </w:p>
        </w:tc>
        <w:tc>
          <w:tcPr>
            <w:tcW w:w="2580"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lang w:val="en-US" w:eastAsia="zh-CN"/>
              </w:rPr>
              <w:t>425839.55</w:t>
            </w:r>
          </w:p>
        </w:tc>
      </w:tr>
    </w:tbl>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ab/>
      </w:r>
      <w:r>
        <w:rPr>
          <w:rFonts w:hint="eastAsia" w:ascii="仿宋" w:hAnsi="仿宋" w:eastAsia="仿宋" w:cs="仿宋"/>
          <w:sz w:val="32"/>
          <w:szCs w:val="32"/>
          <w:highlight w:val="none"/>
        </w:rPr>
        <w:tab/>
      </w:r>
      <w:r>
        <w:rPr>
          <w:rFonts w:hint="eastAsia" w:ascii="仿宋" w:hAnsi="仿宋" w:eastAsia="仿宋" w:cs="仿宋"/>
          <w:sz w:val="32"/>
          <w:szCs w:val="32"/>
          <w:highlight w:val="none"/>
        </w:rPr>
        <w:tab/>
      </w:r>
      <w:r>
        <w:rPr>
          <w:rFonts w:hint="eastAsia" w:ascii="仿宋" w:hAnsi="仿宋" w:eastAsia="仿宋" w:cs="仿宋"/>
          <w:sz w:val="32"/>
          <w:szCs w:val="32"/>
          <w:highlight w:val="none"/>
        </w:rPr>
        <w:tab/>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二、获取文件的时间、地点、方式</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额尔古纳市拉布大林街道办事处</w:t>
      </w:r>
      <w:r>
        <w:rPr>
          <w:rFonts w:hint="eastAsia" w:ascii="仿宋" w:hAnsi="仿宋" w:eastAsia="仿宋" w:cs="仿宋"/>
          <w:sz w:val="32"/>
          <w:szCs w:val="32"/>
          <w:highlight w:val="none"/>
          <w:lang w:eastAsia="zh-CN"/>
        </w:rPr>
        <w:t>二楼城市管理办公室。</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其他要求：本项目采用线下开标模式进行开标。</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三、响应文件提交的截止时间、开启时间和地点</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202</w:t>
      </w:r>
      <w:r>
        <w:rPr>
          <w:rFonts w:hint="eastAsia" w:ascii="仿宋" w:hAnsi="仿宋" w:eastAsia="仿宋" w:cs="仿宋"/>
          <w:b w:val="0"/>
          <w:bCs w:val="0"/>
          <w:sz w:val="32"/>
          <w:szCs w:val="32"/>
          <w:highlight w:val="none"/>
          <w:lang w:val="en-US" w:eastAsia="zh-CN"/>
        </w:rPr>
        <w:t>4</w:t>
      </w:r>
      <w:r>
        <w:rPr>
          <w:rFonts w:hint="eastAsia" w:ascii="仿宋" w:hAnsi="仿宋" w:eastAsia="仿宋" w:cs="仿宋"/>
          <w:b w:val="0"/>
          <w:bCs w:val="0"/>
          <w:sz w:val="32"/>
          <w:szCs w:val="32"/>
          <w:highlight w:val="none"/>
        </w:rPr>
        <w:t>年</w:t>
      </w:r>
      <w:r>
        <w:rPr>
          <w:rFonts w:hint="eastAsia" w:ascii="仿宋" w:hAnsi="仿宋" w:eastAsia="仿宋" w:cs="仿宋"/>
          <w:b w:val="0"/>
          <w:bCs w:val="0"/>
          <w:sz w:val="32"/>
          <w:szCs w:val="32"/>
          <w:highlight w:val="none"/>
          <w:lang w:val="en-US" w:eastAsia="zh-CN"/>
        </w:rPr>
        <w:t>7</w:t>
      </w:r>
      <w:r>
        <w:rPr>
          <w:rFonts w:hint="eastAsia" w:ascii="仿宋" w:hAnsi="仿宋" w:eastAsia="仿宋" w:cs="仿宋"/>
          <w:b w:val="0"/>
          <w:bCs w:val="0"/>
          <w:sz w:val="32"/>
          <w:szCs w:val="32"/>
          <w:highlight w:val="none"/>
        </w:rPr>
        <w:t>月</w:t>
      </w:r>
      <w:r>
        <w:rPr>
          <w:rFonts w:hint="eastAsia" w:ascii="仿宋" w:hAnsi="仿宋" w:eastAsia="仿宋" w:cs="仿宋"/>
          <w:b w:val="0"/>
          <w:bCs w:val="0"/>
          <w:sz w:val="32"/>
          <w:szCs w:val="32"/>
          <w:highlight w:val="none"/>
          <w:lang w:val="en-US" w:eastAsia="zh-CN"/>
        </w:rPr>
        <w:t>1</w:t>
      </w:r>
      <w:r>
        <w:rPr>
          <w:rFonts w:hint="eastAsia" w:ascii="仿宋" w:hAnsi="仿宋" w:eastAsia="仿宋" w:cs="仿宋"/>
          <w:b w:val="0"/>
          <w:bCs w:val="0"/>
          <w:sz w:val="32"/>
          <w:szCs w:val="32"/>
          <w:highlight w:val="none"/>
        </w:rPr>
        <w:t>日</w:t>
      </w:r>
      <w:r>
        <w:rPr>
          <w:rFonts w:hint="eastAsia" w:ascii="仿宋" w:hAnsi="仿宋" w:eastAsia="仿宋" w:cs="仿宋"/>
          <w:b w:val="0"/>
          <w:bCs w:val="0"/>
          <w:sz w:val="32"/>
          <w:szCs w:val="32"/>
          <w:highlight w:val="none"/>
          <w:lang w:val="en-US" w:eastAsia="zh-CN"/>
        </w:rPr>
        <w:t>14</w:t>
      </w:r>
      <w:r>
        <w:rPr>
          <w:rFonts w:hint="eastAsia" w:ascii="仿宋" w:hAnsi="仿宋" w:eastAsia="仿宋" w:cs="仿宋"/>
          <w:b w:val="0"/>
          <w:bCs w:val="0"/>
          <w:sz w:val="32"/>
          <w:szCs w:val="32"/>
          <w:highlight w:val="none"/>
        </w:rPr>
        <w:t>：</w:t>
      </w:r>
      <w:r>
        <w:rPr>
          <w:rFonts w:hint="eastAsia" w:ascii="仿宋" w:hAnsi="仿宋" w:eastAsia="仿宋" w:cs="仿宋"/>
          <w:b w:val="0"/>
          <w:bCs w:val="0"/>
          <w:sz w:val="32"/>
          <w:szCs w:val="32"/>
          <w:highlight w:val="none"/>
          <w:lang w:val="en-US" w:eastAsia="zh-CN"/>
        </w:rPr>
        <w:t>00</w:t>
      </w:r>
      <w:r>
        <w:rPr>
          <w:rFonts w:hint="eastAsia" w:ascii="仿宋" w:hAnsi="仿宋" w:eastAsia="仿宋" w:cs="仿宋"/>
          <w:b w:val="0"/>
          <w:bCs w:val="0"/>
          <w:sz w:val="32"/>
          <w:szCs w:val="32"/>
          <w:highlight w:val="none"/>
        </w:rPr>
        <w:t>截止。</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开标时间：202</w:t>
      </w:r>
      <w:r>
        <w:rPr>
          <w:rFonts w:hint="eastAsia" w:ascii="仿宋" w:hAnsi="仿宋" w:eastAsia="仿宋" w:cs="仿宋"/>
          <w:b w:val="0"/>
          <w:bCs w:val="0"/>
          <w:sz w:val="32"/>
          <w:szCs w:val="32"/>
          <w:highlight w:val="none"/>
          <w:lang w:val="en-US" w:eastAsia="zh-CN"/>
        </w:rPr>
        <w:t>4</w:t>
      </w:r>
      <w:r>
        <w:rPr>
          <w:rFonts w:hint="eastAsia" w:ascii="仿宋" w:hAnsi="仿宋" w:eastAsia="仿宋" w:cs="仿宋"/>
          <w:b w:val="0"/>
          <w:bCs w:val="0"/>
          <w:sz w:val="32"/>
          <w:szCs w:val="32"/>
          <w:highlight w:val="none"/>
        </w:rPr>
        <w:t>年</w:t>
      </w:r>
      <w:r>
        <w:rPr>
          <w:rFonts w:hint="eastAsia" w:ascii="仿宋" w:hAnsi="仿宋" w:eastAsia="仿宋" w:cs="仿宋"/>
          <w:b w:val="0"/>
          <w:bCs w:val="0"/>
          <w:sz w:val="32"/>
          <w:szCs w:val="32"/>
          <w:highlight w:val="none"/>
          <w:lang w:val="en-US" w:eastAsia="zh-CN"/>
        </w:rPr>
        <w:t>7</w:t>
      </w:r>
      <w:r>
        <w:rPr>
          <w:rFonts w:hint="eastAsia" w:ascii="仿宋" w:hAnsi="仿宋" w:eastAsia="仿宋" w:cs="仿宋"/>
          <w:b w:val="0"/>
          <w:bCs w:val="0"/>
          <w:sz w:val="32"/>
          <w:szCs w:val="32"/>
          <w:highlight w:val="none"/>
        </w:rPr>
        <w:t>月</w:t>
      </w:r>
      <w:r>
        <w:rPr>
          <w:rFonts w:hint="eastAsia" w:ascii="仿宋" w:hAnsi="仿宋" w:eastAsia="仿宋" w:cs="仿宋"/>
          <w:b w:val="0"/>
          <w:bCs w:val="0"/>
          <w:sz w:val="32"/>
          <w:szCs w:val="32"/>
          <w:highlight w:val="none"/>
          <w:lang w:val="en-US" w:eastAsia="zh-CN"/>
        </w:rPr>
        <w:t>1</w:t>
      </w:r>
      <w:r>
        <w:rPr>
          <w:rFonts w:hint="eastAsia" w:ascii="仿宋" w:hAnsi="仿宋" w:eastAsia="仿宋" w:cs="仿宋"/>
          <w:b w:val="0"/>
          <w:bCs w:val="0"/>
          <w:sz w:val="32"/>
          <w:szCs w:val="32"/>
          <w:highlight w:val="none"/>
        </w:rPr>
        <w:t>日</w:t>
      </w:r>
      <w:r>
        <w:rPr>
          <w:rFonts w:hint="eastAsia" w:ascii="仿宋" w:hAnsi="仿宋" w:eastAsia="仿宋" w:cs="仿宋"/>
          <w:b w:val="0"/>
          <w:bCs w:val="0"/>
          <w:sz w:val="32"/>
          <w:szCs w:val="32"/>
          <w:highlight w:val="none"/>
          <w:lang w:val="en-US" w:eastAsia="zh-CN"/>
        </w:rPr>
        <w:t>14</w:t>
      </w:r>
      <w:r>
        <w:rPr>
          <w:rFonts w:hint="eastAsia" w:ascii="仿宋" w:hAnsi="仿宋" w:eastAsia="仿宋" w:cs="仿宋"/>
          <w:b w:val="0"/>
          <w:bCs w:val="0"/>
          <w:sz w:val="32"/>
          <w:szCs w:val="32"/>
          <w:highlight w:val="none"/>
        </w:rPr>
        <w:t>:30.</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地点：额尔古纳市拉布大林街道办事处</w:t>
      </w:r>
      <w:r>
        <w:rPr>
          <w:rFonts w:hint="eastAsia" w:ascii="仿宋" w:hAnsi="仿宋" w:eastAsia="仿宋" w:cs="仿宋"/>
          <w:sz w:val="32"/>
          <w:szCs w:val="32"/>
          <w:highlight w:val="none"/>
          <w:lang w:eastAsia="zh-CN"/>
        </w:rPr>
        <w:t>二</w:t>
      </w:r>
      <w:r>
        <w:rPr>
          <w:rFonts w:hint="eastAsia" w:ascii="仿宋" w:hAnsi="仿宋" w:eastAsia="仿宋" w:cs="仿宋"/>
          <w:sz w:val="32"/>
          <w:szCs w:val="32"/>
          <w:highlight w:val="none"/>
        </w:rPr>
        <w:t>楼会议室</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四、联系方式</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采购单位名称：拉布大林街道办事处</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地址：额尔古纳市哈撒尔路254号</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联系人：程静</w:t>
      </w:r>
      <w:r>
        <w:rPr>
          <w:rFonts w:hint="eastAsia" w:ascii="仿宋" w:hAnsi="仿宋" w:eastAsia="仿宋" w:cs="仿宋"/>
          <w:sz w:val="32"/>
          <w:szCs w:val="32"/>
          <w:highlight w:val="non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rPr>
        <w:t>联系电话：0470-6820563</w:t>
      </w:r>
      <w:r>
        <w:rPr>
          <w:rFonts w:hint="eastAsia" w:ascii="仿宋" w:hAnsi="仿宋" w:eastAsia="仿宋" w:cs="仿宋"/>
          <w:sz w:val="32"/>
          <w:szCs w:val="32"/>
          <w:highlight w:val="none"/>
          <w:lang w:val="en-US" w:eastAsia="zh-CN"/>
        </w:rPr>
        <w:t xml:space="preserve">          监督电话：0470-6820797</w:t>
      </w: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第二章 供应商须知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一.前附表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3877"/>
        <w:gridCol w:w="4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序  号</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条款名称</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rPr>
              <w:tab/>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划分采购包情况</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共1包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2</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采购方式</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单位内控招标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3</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开启方式</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线下开标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4</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评审方式</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现场评标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5</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评审方法</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6</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获取文件时间</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default"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6月26日-7月1日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7</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响应文件数量</w:t>
            </w:r>
            <w:r>
              <w:rPr>
                <w:rFonts w:hint="eastAsia" w:ascii="仿宋" w:hAnsi="仿宋" w:eastAsia="仿宋" w:cs="仿宋"/>
                <w:sz w:val="28"/>
                <w:szCs w:val="28"/>
                <w:highlight w:val="none"/>
              </w:rPr>
              <w:tab/>
            </w:r>
            <w:r>
              <w:rPr>
                <w:rFonts w:hint="eastAsia" w:ascii="仿宋" w:hAnsi="仿宋" w:eastAsia="仿宋" w:cs="仿宋"/>
                <w:sz w:val="28"/>
                <w:szCs w:val="28"/>
                <w:highlight w:val="none"/>
              </w:rPr>
              <w:t>(1)</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密封的响应文件 1 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8</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成交人确定</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按照评审报告中推荐的成交候选人确定中标 (成交)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9</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联合体响应</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10</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响应文件签字盖章要求</w:t>
            </w:r>
            <w:r>
              <w:rPr>
                <w:rFonts w:hint="eastAsia" w:ascii="仿宋" w:hAnsi="仿宋" w:eastAsia="仿宋" w:cs="仿宋"/>
                <w:sz w:val="28"/>
                <w:szCs w:val="28"/>
                <w:highlight w:val="none"/>
              </w:rPr>
              <w:tab/>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应按照“响应文件格式与要求</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，使用单位章进行签字、加盖公章。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11</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说明：</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若涉及到授权代表签字的可将文件签字页先进行签字、扫描后放入响应文件。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12</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有效供应商家数</w:t>
            </w:r>
            <w:r>
              <w:rPr>
                <w:rFonts w:hint="eastAsia" w:ascii="仿宋" w:hAnsi="仿宋" w:eastAsia="仿宋" w:cs="仿宋"/>
                <w:sz w:val="28"/>
                <w:szCs w:val="28"/>
                <w:highlight w:val="none"/>
              </w:rPr>
              <w:tab/>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lang w:eastAsia="zh-CN"/>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家以上。（</w:t>
            </w:r>
            <w:r>
              <w:rPr>
                <w:rFonts w:hint="eastAsia" w:ascii="仿宋" w:hAnsi="仿宋" w:eastAsia="仿宋" w:cs="仿宋"/>
                <w:sz w:val="28"/>
                <w:szCs w:val="28"/>
                <w:highlight w:val="none"/>
              </w:rPr>
              <w:t>此数约定了开标与评标过程中的最低有效供应商家数，当供应商不足</w:t>
            </w:r>
            <w:r>
              <w:rPr>
                <w:rFonts w:hint="eastAsia" w:ascii="仿宋" w:hAnsi="仿宋" w:eastAsia="仿宋" w:cs="仿宋"/>
                <w:sz w:val="28"/>
                <w:szCs w:val="28"/>
                <w:highlight w:val="none"/>
                <w:lang w:eastAsia="zh-CN"/>
              </w:rPr>
              <w:t>三家</w:t>
            </w:r>
            <w:r>
              <w:rPr>
                <w:rFonts w:hint="eastAsia" w:ascii="仿宋" w:hAnsi="仿宋" w:eastAsia="仿宋" w:cs="仿宋"/>
                <w:sz w:val="28"/>
                <w:szCs w:val="28"/>
                <w:highlight w:val="none"/>
              </w:rPr>
              <w:t>时项目将不得开标、评标或直接废标；文件中其他描述若与此规定矛盾以此为准。</w:t>
            </w:r>
            <w:r>
              <w:rPr>
                <w:rFonts w:hint="eastAsia" w:ascii="仿宋" w:hAnsi="仿宋" w:eastAsia="仿宋" w:cs="仿宋"/>
                <w:sz w:val="28"/>
                <w:szCs w:val="2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13</w:t>
            </w:r>
          </w:p>
        </w:tc>
        <w:tc>
          <w:tcPr>
            <w:tcW w:w="387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现场考察</w:t>
            </w:r>
          </w:p>
        </w:tc>
        <w:tc>
          <w:tcPr>
            <w:tcW w:w="47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否</w:t>
            </w:r>
          </w:p>
        </w:tc>
      </w:tr>
    </w:tbl>
    <w:p>
      <w:pPr>
        <w:keepNext w:val="0"/>
        <w:keepLines w:val="0"/>
        <w:pageBreakBefore w:val="0"/>
        <w:widowControl/>
        <w:kinsoku w:val="0"/>
        <w:wordWrap/>
        <w:overflowPunct/>
        <w:topLinePunct w:val="0"/>
        <w:autoSpaceDE w:val="0"/>
        <w:autoSpaceDN w:val="0"/>
        <w:bidi w:val="0"/>
        <w:adjustRightInd w:val="0"/>
        <w:snapToGrid w:val="0"/>
        <w:spacing w:line="240" w:lineRule="atLeast"/>
        <w:ind w:firstLine="560" w:firstLineChars="200"/>
        <w:textAlignment w:val="baseline"/>
        <w:rPr>
          <w:rFonts w:hint="eastAsia" w:ascii="仿宋" w:hAnsi="仿宋" w:eastAsia="仿宋" w:cs="仿宋"/>
          <w:sz w:val="28"/>
          <w:szCs w:val="28"/>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二</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各参与方</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“采购人”是指依法进行政府采购的国家机关、事业单位、团体组织。本</w:t>
      </w:r>
      <w:r>
        <w:rPr>
          <w:rFonts w:hint="eastAsia" w:ascii="仿宋" w:hAnsi="仿宋" w:eastAsia="仿宋" w:cs="仿宋"/>
          <w:sz w:val="32"/>
          <w:szCs w:val="32"/>
          <w:highlight w:val="none"/>
          <w:lang w:eastAsia="zh-CN"/>
        </w:rPr>
        <w:t>招标</w:t>
      </w:r>
      <w:r>
        <w:rPr>
          <w:rFonts w:hint="eastAsia" w:ascii="仿宋" w:hAnsi="仿宋" w:eastAsia="仿宋" w:cs="仿宋"/>
          <w:sz w:val="32"/>
          <w:szCs w:val="32"/>
          <w:highlight w:val="none"/>
        </w:rPr>
        <w:t>文件的采购人特指</w:t>
      </w:r>
      <w:r>
        <w:rPr>
          <w:rFonts w:hint="eastAsia" w:ascii="仿宋" w:hAnsi="仿宋" w:eastAsia="仿宋" w:cs="仿宋"/>
          <w:sz w:val="32"/>
          <w:szCs w:val="32"/>
          <w:highlight w:val="none"/>
          <w:lang w:eastAsia="zh-CN"/>
        </w:rPr>
        <w:t>拉布大林街道办事处</w:t>
      </w:r>
      <w:r>
        <w:rPr>
          <w:rFonts w:hint="eastAsia" w:ascii="仿宋" w:hAnsi="仿宋" w:eastAsia="仿宋" w:cs="仿宋"/>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“供应商”是指向采购人提供货物、工程或者服务的法人、其他组织或者自然人。</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“评分小组”由采购人代表和评审专家组成。</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4</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“成交供应商”是指取得与采购人签订合同资格的供应商。</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三、</w:t>
      </w:r>
      <w:r>
        <w:rPr>
          <w:rFonts w:hint="eastAsia" w:ascii="仿宋" w:hAnsi="仿宋" w:eastAsia="仿宋" w:cs="仿宋"/>
          <w:sz w:val="32"/>
          <w:szCs w:val="32"/>
          <w:highlight w:val="none"/>
        </w:rPr>
        <w:t>响应文件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响应文件的构成</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响应文件应按照文件第七章“响应文件格式与要求”进行编写，可以增加附页，并作为响应文件的组成部分。</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报价</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供应商应按照文件第三章“采购内容与技术要求”进行报价。报价中不得包含文件要求以外的内容，否则，在评审时不予核减。报价包括本项目采购需求和投入使用、实施的所有费用，如主件、标准附件、备品备件、施工、服务、专用工具、安装、调试、检验、培训、运输、保险、税款等。</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响应文件的递交</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供应商应当在提交响应文件截止时间前递交响应文件，否则视为自动放弃。</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4</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响应文件的补充、修改或者撤回</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供应商在提交响应文件截止时间前，可以对所提交的响应文件进行补充、修改或者撤回。在提交响应文件截止时间后，供应商不得补充、修改或者撤回其响应文件。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结果公告</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成交供应商确定后，采购单位将在网上发布成交结果公告，同时将成交结果以公告形式通知未成交的供应商，成交结果公告期为 1 个工作日。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成交通知书</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发布成交结果的同时，成交供应商收到成交通知书。</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成交通知书发出后，采购人不得违法改变成交结果，供应商无正当理由不得放弃成交。</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第三章 采购内容与技术要求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一、</w:t>
      </w:r>
      <w:r>
        <w:rPr>
          <w:rFonts w:hint="eastAsia" w:ascii="仿宋" w:hAnsi="仿宋" w:eastAsia="仿宋" w:cs="仿宋"/>
          <w:sz w:val="32"/>
          <w:szCs w:val="32"/>
          <w:highlight w:val="none"/>
        </w:rPr>
        <w:t>项目概况 ：</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项目名称 ：广安社区活动场所建设项目</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二</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主要商务要求、技术要求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合同包1  (广安社区活动场所建设项目)</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 .主要商务要求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标的提供的时间</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合同签订后</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个月内完工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标的提供的地点</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拉布大林街道办事处</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付款方式</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1期：支付比例</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0% ，</w:t>
      </w:r>
      <w:r>
        <w:rPr>
          <w:rFonts w:hint="eastAsia" w:ascii="仿宋" w:hAnsi="仿宋" w:eastAsia="仿宋" w:cs="仿宋"/>
          <w:sz w:val="32"/>
          <w:szCs w:val="32"/>
          <w:highlight w:val="none"/>
          <w:lang w:eastAsia="zh-CN"/>
        </w:rPr>
        <w:t>开工</w:t>
      </w:r>
      <w:r>
        <w:rPr>
          <w:rFonts w:hint="eastAsia" w:ascii="仿宋" w:hAnsi="仿宋" w:eastAsia="仿宋" w:cs="仿宋"/>
          <w:sz w:val="32"/>
          <w:szCs w:val="32"/>
          <w:highlight w:val="none"/>
        </w:rPr>
        <w:t>后支付合同价款的</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0%</w:t>
      </w:r>
      <w:r>
        <w:rPr>
          <w:rFonts w:hint="eastAsia" w:ascii="仿宋" w:hAnsi="仿宋" w:eastAsia="仿宋" w:cs="仿宋"/>
          <w:sz w:val="32"/>
          <w:szCs w:val="32"/>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left="2874" w:leftChars="1064" w:hanging="640" w:hangingChars="200"/>
        <w:textAlignment w:val="baseline"/>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2期：支付比例</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0% ，</w:t>
      </w:r>
      <w:r>
        <w:rPr>
          <w:rFonts w:hint="eastAsia" w:ascii="仿宋" w:hAnsi="仿宋" w:eastAsia="仿宋" w:cs="仿宋"/>
          <w:sz w:val="32"/>
          <w:szCs w:val="32"/>
          <w:highlight w:val="none"/>
          <w:lang w:eastAsia="zh-CN"/>
        </w:rPr>
        <w:t>工程结束后</w:t>
      </w:r>
      <w:r>
        <w:rPr>
          <w:rFonts w:hint="eastAsia" w:ascii="仿宋" w:hAnsi="仿宋" w:eastAsia="仿宋" w:cs="仿宋"/>
          <w:sz w:val="32"/>
          <w:szCs w:val="32"/>
          <w:highlight w:val="none"/>
        </w:rPr>
        <w:t>通过验收</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支付</w:t>
      </w:r>
      <w:r>
        <w:rPr>
          <w:rFonts w:hint="eastAsia" w:ascii="仿宋" w:hAnsi="仿宋" w:eastAsia="仿宋" w:cs="仿宋"/>
          <w:sz w:val="32"/>
          <w:szCs w:val="32"/>
          <w:highlight w:val="none"/>
          <w:lang w:eastAsia="zh-CN"/>
        </w:rPr>
        <w:t>合同</w:t>
      </w:r>
      <w:r>
        <w:rPr>
          <w:rFonts w:hint="eastAsia" w:ascii="仿宋" w:hAnsi="仿宋" w:eastAsia="仿宋" w:cs="仿宋"/>
          <w:sz w:val="32"/>
          <w:szCs w:val="32"/>
          <w:highlight w:val="none"/>
        </w:rPr>
        <w:t>价款</w:t>
      </w:r>
      <w:r>
        <w:rPr>
          <w:rFonts w:hint="eastAsia" w:ascii="仿宋" w:hAnsi="仿宋" w:eastAsia="仿宋" w:cs="仿宋"/>
          <w:sz w:val="32"/>
          <w:szCs w:val="32"/>
          <w:highlight w:val="none"/>
          <w:lang w:eastAsia="zh-CN"/>
        </w:rPr>
        <w:t>的</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0%</w:t>
      </w:r>
      <w:r>
        <w:rPr>
          <w:rFonts w:hint="eastAsia" w:ascii="仿宋" w:hAnsi="仿宋" w:eastAsia="仿宋" w:cs="仿宋"/>
          <w:sz w:val="32"/>
          <w:szCs w:val="32"/>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left="2874" w:leftChars="1064" w:hanging="640" w:hangingChars="200"/>
        <w:textAlignment w:val="baseline"/>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rPr>
        <w:t>3期：支付比例30%，</w:t>
      </w:r>
      <w:r>
        <w:rPr>
          <w:rFonts w:hint="eastAsia" w:ascii="仿宋" w:hAnsi="仿宋" w:eastAsia="仿宋" w:cs="仿宋"/>
          <w:sz w:val="32"/>
          <w:szCs w:val="32"/>
          <w:highlight w:val="none"/>
          <w:lang w:eastAsia="zh-CN"/>
        </w:rPr>
        <w:t>审计结束后，按决算审定单支付剩余工程款，并留总工程造价的</w:t>
      </w:r>
      <w:r>
        <w:rPr>
          <w:rFonts w:hint="eastAsia" w:ascii="仿宋" w:hAnsi="仿宋" w:eastAsia="仿宋" w:cs="仿宋"/>
          <w:sz w:val="32"/>
          <w:szCs w:val="32"/>
          <w:highlight w:val="none"/>
          <w:lang w:val="en-US" w:eastAsia="zh-CN"/>
        </w:rPr>
        <w:t>3%做为质保金，一年后支付。</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 .技术要求</w:t>
      </w:r>
    </w:p>
    <w:tbl>
      <w:tblPr>
        <w:tblStyle w:val="7"/>
        <w:tblW w:w="9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
        <w:gridCol w:w="1447"/>
        <w:gridCol w:w="4036"/>
        <w:gridCol w:w="566"/>
        <w:gridCol w:w="1760"/>
        <w:gridCol w:w="1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44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序号</w:t>
            </w:r>
          </w:p>
        </w:tc>
        <w:tc>
          <w:tcPr>
            <w:tcW w:w="144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标的名称</w:t>
            </w:r>
          </w:p>
        </w:tc>
        <w:tc>
          <w:tcPr>
            <w:tcW w:w="403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lang w:eastAsia="zh-CN"/>
              </w:rPr>
            </w:pPr>
            <w:r>
              <w:rPr>
                <w:rFonts w:hint="eastAsia" w:ascii="仿宋" w:hAnsi="仿宋" w:eastAsia="仿宋" w:cs="仿宋"/>
                <w:sz w:val="32"/>
                <w:szCs w:val="32"/>
                <w:highlight w:val="none"/>
                <w:vertAlign w:val="baseline"/>
                <w:lang w:eastAsia="zh-CN"/>
              </w:rPr>
              <w:t>内容</w:t>
            </w:r>
          </w:p>
        </w:tc>
        <w:tc>
          <w:tcPr>
            <w:tcW w:w="5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数量</w:t>
            </w:r>
          </w:p>
        </w:tc>
        <w:tc>
          <w:tcPr>
            <w:tcW w:w="1760"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预 算总价(元)</w:t>
            </w:r>
          </w:p>
        </w:tc>
        <w:tc>
          <w:tcPr>
            <w:tcW w:w="1622"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所属行业技术要求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7" w:hRule="atLeast"/>
        </w:trPr>
        <w:tc>
          <w:tcPr>
            <w:tcW w:w="44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1</w:t>
            </w:r>
          </w:p>
        </w:tc>
        <w:tc>
          <w:tcPr>
            <w:tcW w:w="1447"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lang w:eastAsia="zh-CN"/>
              </w:rPr>
            </w:pPr>
            <w:r>
              <w:rPr>
                <w:rFonts w:hint="eastAsia" w:ascii="仿宋" w:hAnsi="仿宋" w:eastAsia="仿宋" w:cs="仿宋"/>
                <w:sz w:val="32"/>
                <w:szCs w:val="32"/>
                <w:highlight w:val="none"/>
              </w:rPr>
              <w:t>广安社区活动场所建设项目</w:t>
            </w:r>
          </w:p>
        </w:tc>
        <w:tc>
          <w:tcPr>
            <w:tcW w:w="403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_GB2312" w:hAnsi="仿宋_GB2312" w:eastAsia="仿宋_GB2312" w:cs="仿宋_GB2312"/>
                <w:sz w:val="32"/>
                <w:szCs w:val="32"/>
              </w:rPr>
              <w:t>对广安社区进行采暖维修（包括更换暖气片），地面维修，办公楼外墙维修、安装套装木门、卫生间改造、采购图书等。</w:t>
            </w:r>
          </w:p>
        </w:tc>
        <w:tc>
          <w:tcPr>
            <w:tcW w:w="566"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rPr>
              <w:t>1</w:t>
            </w:r>
          </w:p>
        </w:tc>
        <w:tc>
          <w:tcPr>
            <w:tcW w:w="1760"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rPr>
            </w:pPr>
            <w:r>
              <w:rPr>
                <w:rFonts w:hint="eastAsia" w:ascii="仿宋" w:hAnsi="仿宋" w:eastAsia="仿宋" w:cs="仿宋"/>
                <w:sz w:val="32"/>
                <w:szCs w:val="32"/>
                <w:highlight w:val="none"/>
                <w:lang w:val="en-US" w:eastAsia="zh-CN"/>
              </w:rPr>
              <w:t>425839.55</w:t>
            </w:r>
          </w:p>
        </w:tc>
        <w:tc>
          <w:tcPr>
            <w:tcW w:w="1622" w:type="dxa"/>
          </w:tcPr>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lang w:eastAsia="zh-CN"/>
              </w:rPr>
              <w:t>装修</w:t>
            </w:r>
            <w:r>
              <w:rPr>
                <w:rFonts w:hint="eastAsia" w:ascii="仿宋" w:hAnsi="仿宋" w:eastAsia="仿宋" w:cs="仿宋"/>
                <w:sz w:val="32"/>
                <w:szCs w:val="32"/>
                <w:highlight w:val="none"/>
                <w:lang w:val="en-US" w:eastAsia="zh-CN"/>
              </w:rPr>
              <w:t>。</w:t>
            </w:r>
          </w:p>
        </w:tc>
      </w:tr>
    </w:tbl>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第四章 供应商应当提交的资格、资信证明文件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3" w:firstLineChars="200"/>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供应商应提交证明其有资格参加</w:t>
      </w:r>
      <w:r>
        <w:rPr>
          <w:rFonts w:hint="eastAsia" w:ascii="仿宋" w:hAnsi="仿宋" w:eastAsia="仿宋" w:cs="仿宋"/>
          <w:sz w:val="32"/>
          <w:szCs w:val="32"/>
          <w:highlight w:val="none"/>
          <w:lang w:eastAsia="zh-CN"/>
        </w:rPr>
        <w:t>招标</w:t>
      </w:r>
      <w:r>
        <w:rPr>
          <w:rFonts w:hint="eastAsia" w:ascii="仿宋" w:hAnsi="仿宋" w:eastAsia="仿宋" w:cs="仿宋"/>
          <w:sz w:val="32"/>
          <w:szCs w:val="32"/>
          <w:highlight w:val="none"/>
        </w:rPr>
        <w:t>和成交后有能力履行合同的相关文件，并作为其响应文件的一部分，所有文件必须真实可靠、不得伪造，否则将按相关规定予以处罚。</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投标人（供应商）的资格要求</w:t>
      </w:r>
      <w:r>
        <w:rPr>
          <w:rFonts w:hint="eastAsia" w:ascii="仿宋" w:hAnsi="仿宋" w:eastAsia="仿宋" w:cs="仿宋"/>
          <w:sz w:val="32"/>
          <w:szCs w:val="32"/>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投标人应具备《中华人民共和国政府采购法》第二十二条规定的条件。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1、投标人（供应商）是指参与投标活动拟向采购人提供货物或者服务的法人、其他组织或者自然人。</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2、资格审查时，供应商未被列入失信被执行人、税收违法黑名单、政府采购严重违法失信行为记录名单，投标人相关信用情况通 过在国家信息中心主办“信用中国”网站、中国政府采购网、信用呼伦贝尔网站联合奖惩栏目-实心联合惩戒、呼伦贝尔市市场监督管理局网站-呼伦贝尔企业信用信息公示系统和呼伦贝尔市公共资源交易网站-信用平台等渠道查询是否有失信记录，即截止开标当日评审查询时间未被记入失信被执行人、重大税收违法案件当事人名单、政府采购严重违法失信名单。</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3、法人或者其他组织的营业执照等证明文件，自然人的身份证明。法人包括企业法人、机关法人、事业单位法人和社会团体法人；其他组织主要包括合伙企业、非企业专业服务机构、个体工商户</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农村承包经营户；自然人是指具有完全民事行为 能力、能够承担民事责任和义务的公民。如供应商是企业 (包括合伙企业) ，要提供在市场监督管理部门注册的有效“企业法 人营业执照”或“营业执照”；如供应商是事业单位，要提供有效的“事业单位法人证书”；供应商是非企业专业服务机构，如律师事务所、会计师事务所，要提供有效的执业许可证等证明文件；如供应商是个体工商户，要提供有效的“个体工商户营业执照”；如供应商是自然人，要提供有效的自然人身份证明。</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分公司不是独立法人，不具备政府采购法第二十二条规定的供应商应当具备独立承担民事责任能力的条件。分公司经总公司授权，可以以分公司的名义参加政府采购活动，但其民事责任由总公司承担</w:t>
      </w:r>
      <w:r>
        <w:rPr>
          <w:rFonts w:hint="eastAsia" w:ascii="仿宋" w:hAnsi="仿宋" w:eastAsia="仿宋" w:cs="仿宋"/>
          <w:sz w:val="32"/>
          <w:szCs w:val="32"/>
          <w:highlight w:val="none"/>
          <w:lang w:val="en-US" w:eastAsia="zh-CN"/>
        </w:rPr>
        <w:t>.</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投标人投标时需递交</w:t>
      </w:r>
      <w:r>
        <w:rPr>
          <w:rFonts w:hint="eastAsia" w:ascii="仿宋" w:hAnsi="仿宋" w:eastAsia="仿宋" w:cs="仿宋"/>
          <w:sz w:val="32"/>
          <w:szCs w:val="32"/>
          <w:highlight w:val="none"/>
          <w:lang w:eastAsia="zh-CN"/>
        </w:rPr>
        <w:t>具有（建筑工程）资质的材料复印</w:t>
      </w:r>
      <w:r>
        <w:rPr>
          <w:rFonts w:hint="eastAsia" w:ascii="仿宋" w:hAnsi="仿宋" w:eastAsia="仿宋" w:cs="仿宋"/>
          <w:sz w:val="32"/>
          <w:szCs w:val="32"/>
          <w:highlight w:val="none"/>
        </w:rPr>
        <w:t>件和纸质投标（响应）文件</w:t>
      </w:r>
      <w:r>
        <w:rPr>
          <w:rFonts w:hint="eastAsia" w:ascii="仿宋" w:hAnsi="仿宋" w:eastAsia="仿宋" w:cs="仿宋"/>
          <w:sz w:val="32"/>
          <w:szCs w:val="32"/>
          <w:highlight w:val="none"/>
          <w:lang w:eastAsia="zh-CN"/>
        </w:rPr>
        <w:t>，包括</w:t>
      </w:r>
      <w:r>
        <w:rPr>
          <w:rFonts w:hint="eastAsia" w:ascii="仿宋" w:hAnsi="仿宋" w:eastAsia="仿宋" w:cs="仿宋"/>
          <w:sz w:val="32"/>
          <w:szCs w:val="32"/>
          <w:highlight w:val="none"/>
        </w:rPr>
        <w:t>财务状况报告，依法缴纳税收的相关材料</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 xml:space="preserve"> </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、按照文件要求，具备履行合同所必需的设备和专业技术能力的证明材料。供应商应当提交的其他资格、资信证明文件</w:t>
      </w:r>
      <w:r>
        <w:rPr>
          <w:rFonts w:hint="eastAsia" w:ascii="仿宋" w:hAnsi="仿宋" w:eastAsia="仿宋" w:cs="仿宋"/>
          <w:sz w:val="32"/>
          <w:szCs w:val="32"/>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、本次招标不接受联合体投标</w:t>
      </w:r>
      <w:r>
        <w:rPr>
          <w:rFonts w:hint="eastAsia" w:ascii="仿宋" w:hAnsi="仿宋" w:eastAsia="仿宋" w:cs="仿宋"/>
          <w:sz w:val="32"/>
          <w:szCs w:val="32"/>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第五章 评审</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评审要求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 .评审方法</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评分小组采用评分法对提交最后报价的供应商的响应文件和最后报价进行评分。</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 .评审原则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评分小组成员应当遵循客观、公正、审慎的原则，根据文件规定的评审程序、评审方法和评审标准进行独立评审。具体评审事项由评分小组负责，并按招标文件规定的办法进行评审。</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 .评分小组</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3.1评分小组由采购人代表和评审专家共3人以上单数组成，其中评审专家人数不得少于小组成员总数的2/3。</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3.2 评分小组成员有下列情形之一的，应当回避：</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 参加政府采购活动前3年内,与供应商存在劳动关系,或者担任过供应商的董事、监事,或者是供应商的控股股东或实际控制人；</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 与供应商的法定代表人或者负责人有夫妻、直系血亲、三代以内旁系血亲或者近姻亲关系；</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 与供应商有其他可能影响政府采购活动公平、公正进行的关系；</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3.3评分小组负责具体评审事务，并独立履行下列职责：</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 对响应文件的有效性、完整性和响应程度进行审查；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 要求供应商对响应文件有关事项作出澄清、说明或更正；</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 评分小组所有成员应当集中与单一供应商分别进行</w:t>
      </w:r>
      <w:r>
        <w:rPr>
          <w:rFonts w:hint="eastAsia" w:ascii="仿宋" w:hAnsi="仿宋" w:eastAsia="仿宋" w:cs="仿宋"/>
          <w:sz w:val="32"/>
          <w:szCs w:val="32"/>
          <w:highlight w:val="none"/>
          <w:lang w:eastAsia="zh-CN"/>
        </w:rPr>
        <w:t>谈论</w:t>
      </w:r>
      <w:r>
        <w:rPr>
          <w:rFonts w:hint="eastAsia" w:ascii="仿宋" w:hAnsi="仿宋" w:eastAsia="仿宋" w:cs="仿宋"/>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(4) 对响应文件进行比较和评价；</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(5) 确定成交候选人名单，以及根据采购人委托直接确定成交供应商；</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(6) 向采购人、采购代理机构或者有关部门报告评审中发现的违法行为；</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(7) 法律法规规定的其他职责。</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4 .澄清</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评分小组在对响应文件的有效性、完整性和响应程度进行审查时</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评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评分小组不接受供应商主动提出的澄清、说明或更正。</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终止的情形</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出现下列情形之一的，采购人或者采购代理机构应当终止采购活动，发布公告并说明原因，重新开展采购活动：</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(1) 因情况变化，不再符合规定的采购方式适用情形的；</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(2) 出现影响采购公正的违法、违规行为的；</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(3) 在采购过程中符合要求的供应商或者报价未超过采购预算的供应商不足3家的。</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(4) 法律、法规以及</w:t>
      </w:r>
      <w:r>
        <w:rPr>
          <w:rFonts w:hint="eastAsia" w:ascii="仿宋" w:hAnsi="仿宋" w:eastAsia="仿宋" w:cs="仿宋"/>
          <w:sz w:val="32"/>
          <w:szCs w:val="32"/>
          <w:highlight w:val="none"/>
          <w:lang w:eastAsia="zh-CN"/>
        </w:rPr>
        <w:t>招标</w:t>
      </w:r>
      <w:r>
        <w:rPr>
          <w:rFonts w:hint="eastAsia" w:ascii="仿宋" w:hAnsi="仿宋" w:eastAsia="仿宋" w:cs="仿宋"/>
          <w:sz w:val="32"/>
          <w:szCs w:val="32"/>
          <w:highlight w:val="none"/>
        </w:rPr>
        <w:t>文件规定的其他情形。</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.成交</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评审结束后，评分小组根据</w:t>
      </w:r>
      <w:r>
        <w:rPr>
          <w:rFonts w:hint="eastAsia" w:ascii="仿宋" w:hAnsi="仿宋" w:eastAsia="仿宋" w:cs="仿宋"/>
          <w:sz w:val="32"/>
          <w:szCs w:val="32"/>
          <w:highlight w:val="none"/>
          <w:lang w:eastAsia="zh-CN"/>
        </w:rPr>
        <w:t>最低价</w:t>
      </w:r>
      <w:r>
        <w:rPr>
          <w:rFonts w:hint="eastAsia" w:ascii="仿宋" w:hAnsi="仿宋" w:eastAsia="仿宋" w:cs="仿宋"/>
          <w:sz w:val="32"/>
          <w:szCs w:val="32"/>
          <w:highlight w:val="none"/>
        </w:rPr>
        <w:t>直接确定成交供应商或者由采购人从评审报告提出的成交候选供应商中按顺序确定成交供应商。</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pStyle w:val="2"/>
        <w:rPr>
          <w:rFonts w:hint="eastAsia"/>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320" w:firstLineChars="1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资格审查表</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具有独立承担民事责任的能力</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供应商</w:t>
      </w:r>
      <w:r>
        <w:rPr>
          <w:rFonts w:hint="eastAsia" w:ascii="仿宋" w:hAnsi="仿宋" w:eastAsia="仿宋" w:cs="仿宋"/>
          <w:sz w:val="32"/>
          <w:szCs w:val="32"/>
          <w:highlight w:val="none"/>
          <w:lang w:eastAsia="zh-CN"/>
        </w:rPr>
        <w:t>提供</w:t>
      </w:r>
      <w:r>
        <w:rPr>
          <w:rFonts w:hint="eastAsia" w:ascii="仿宋" w:hAnsi="仿宋" w:eastAsia="仿宋" w:cs="仿宋"/>
          <w:sz w:val="32"/>
          <w:szCs w:val="32"/>
          <w:highlight w:val="none"/>
        </w:rPr>
        <w:t>营业执照等证明文件或者身份证明</w:t>
      </w:r>
      <w:r>
        <w:rPr>
          <w:rFonts w:hint="eastAsia" w:ascii="仿宋" w:hAnsi="仿宋" w:eastAsia="仿宋" w:cs="仿宋"/>
          <w:sz w:val="32"/>
          <w:szCs w:val="32"/>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具有良好的商业信誉和健全的财务会计制度</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供应商提供具有良好的商业信誉和健全的财务会计制度的相关材料。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有依法缴纳税收和社会保障资金的良好记录</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供应商</w:t>
      </w:r>
      <w:r>
        <w:rPr>
          <w:rFonts w:hint="eastAsia" w:ascii="仿宋" w:hAnsi="仿宋" w:eastAsia="仿宋" w:cs="仿宋"/>
          <w:sz w:val="32"/>
          <w:szCs w:val="32"/>
          <w:highlight w:val="none"/>
          <w:lang w:eastAsia="zh-CN"/>
        </w:rPr>
        <w:t>应</w:t>
      </w:r>
      <w:r>
        <w:rPr>
          <w:rFonts w:hint="eastAsia" w:ascii="仿宋" w:hAnsi="仿宋" w:eastAsia="仿宋" w:cs="仿宋"/>
          <w:sz w:val="32"/>
          <w:szCs w:val="32"/>
          <w:highlight w:val="none"/>
        </w:rPr>
        <w:t>提供依法缴纳税收和社会保障资金的相关材料。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具有履行合同所必须的设备和专业技术能力</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供应商提供具有履行合同所必需的设备和专业技术能力的证明材料。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参加采购活动前3年内，在经营活动中没有重大违法记录</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供应商参加本次采购活动前3年内在经营活动中没有重大违法记录的书面声明。</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信用记录</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供应商未被列入失信被执行人、税收违法黑名单、政府采购严重违法失信行为记录名单。</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7、</w:t>
      </w:r>
      <w:r>
        <w:rPr>
          <w:rFonts w:hint="eastAsia" w:ascii="仿宋" w:hAnsi="仿宋" w:eastAsia="仿宋" w:cs="仿宋"/>
          <w:sz w:val="32"/>
          <w:szCs w:val="32"/>
          <w:highlight w:val="none"/>
        </w:rPr>
        <w:t>汇总、排序</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评分小组根据综合评分情况，按照评审得分由高到低顺序推荐3名以上成交候选供应商。评审得分相同的，按照最后报价由低到高的顺序推荐。评审得分且最后报价相同的，按照技术指标优劣顺序推荐。</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第六章 合同与验收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一、合同</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合同要求</w:t>
      </w:r>
      <w:r>
        <w:rPr>
          <w:rFonts w:hint="eastAsia" w:ascii="仿宋" w:hAnsi="仿宋" w:eastAsia="仿宋" w:cs="仿宋"/>
          <w:sz w:val="32"/>
          <w:szCs w:val="32"/>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采购人应当自中标(成交)通知书发出之日起30日内，按照招标询价通知书和中标(成交)供应商投标(响应)文件的规定，与中标 (成交) 供应商签订书面合同。所签订的合同不得对招标文件或中标通知书确定的事项作实质性修改。采购人、供应商不得提出任何不合理的要求作为签订合同的条件。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合同应当包括采购人与中标 (成交) 供应商的名称和住所、标的、数量、质量、价款或者报酬、履行期限及地点和方式、验收要求、违约责任、解决争议的方法等内容。</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采购人与中标 (成交) 供应商应当根据合同的约定依法履行合同义务。合同的履行、违约责任和解决争议的方法等适用《中华人民共和国民法典》。合同的双方当事人不得擅自变更、中止或者终止合同</w:t>
      </w:r>
      <w:r>
        <w:rPr>
          <w:rFonts w:hint="eastAsia" w:ascii="仿宋" w:hAnsi="仿宋" w:eastAsia="仿宋" w:cs="仿宋"/>
          <w:sz w:val="32"/>
          <w:szCs w:val="32"/>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二、</w:t>
      </w:r>
      <w:r>
        <w:rPr>
          <w:rFonts w:hint="eastAsia" w:ascii="仿宋" w:hAnsi="仿宋" w:eastAsia="仿宋" w:cs="仿宋"/>
          <w:sz w:val="32"/>
          <w:szCs w:val="32"/>
          <w:highlight w:val="none"/>
        </w:rPr>
        <w:t>验收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严格按照合同开展履约验收。采购人或者采购代理机构应当成立验收小组,按照采购合同的约定对供应商履约情况进行验收。验收时,应当按照采购合同的约定对每一项技术、服务、安全标准的履约情况进行确认。验收结束后,应当出具验收</w:t>
      </w:r>
      <w:r>
        <w:rPr>
          <w:rFonts w:hint="eastAsia" w:ascii="仿宋" w:hAnsi="仿宋" w:eastAsia="仿宋" w:cs="仿宋"/>
          <w:sz w:val="32"/>
          <w:szCs w:val="32"/>
          <w:highlight w:val="none"/>
          <w:lang w:eastAsia="zh-CN"/>
        </w:rPr>
        <w:t>单</w:t>
      </w:r>
      <w:r>
        <w:rPr>
          <w:rFonts w:hint="eastAsia" w:ascii="仿宋" w:hAnsi="仿宋" w:eastAsia="仿宋" w:cs="仿宋"/>
          <w:sz w:val="32"/>
          <w:szCs w:val="32"/>
          <w:highlight w:val="none"/>
        </w:rPr>
        <w:t>,列明各项标准的验收情况及项目总体评价,由验收双方共同签署。验收结果应当与采购合同约定的资金支付及履约保证金返还条件挂钩。履约验收的各项资料应当存档备查。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第七章 响应文件格式与要求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一、</w:t>
      </w:r>
      <w:r>
        <w:rPr>
          <w:rFonts w:hint="eastAsia" w:ascii="仿宋" w:hAnsi="仿宋" w:eastAsia="仿宋" w:cs="仿宋"/>
          <w:sz w:val="32"/>
          <w:szCs w:val="32"/>
          <w:highlight w:val="none"/>
        </w:rPr>
        <w:t>响应文件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供应商按照以下格式编制响应文件。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响应文件封面格式：</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(项目名称)</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响应文件</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项目编号：</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包 号：  第  包 (项目划分采购包时使用)</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(供应商名称)  (盖章)</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年  月  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响应文件目录格式 :</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目 录</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一、响应承诺书</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二、报价表</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highlight w:val="none"/>
        </w:rPr>
      </w:pPr>
      <w:r>
        <w:rPr>
          <w:rFonts w:hint="eastAsia" w:ascii="仿宋" w:hAnsi="仿宋" w:eastAsia="仿宋" w:cs="仿宋"/>
          <w:sz w:val="32"/>
          <w:szCs w:val="32"/>
          <w:highlight w:val="none"/>
        </w:rPr>
        <w:t>三、授权委托书</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四、供应商基本情况表</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五、具有独立承担民事责任的能力的证明材料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六、具有良好的商业信誉和健全的财务会计制度的相关材料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七、依法缴纳税收和社会保障资金的良好记录的相关材料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八、具有履行合同所必需的设备和专业技术能力的证明材料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九、参加政府采购活动前3年内在经营活动中没有重大违法记录的书面声明</w:t>
      </w:r>
    </w:p>
    <w:p>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项目组成人员一览表</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十一、项目实施方案、质量保证及售后服务承诺等</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十二、供应商业绩情况表</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十三、其他证明材料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响应文件正文格式：</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一、响应承诺书</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致：___________________(采购单位名称)</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你方组织的</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(项目名称) 的采购，项目编号：__________，我方自愿参与，并就有关事项郑重承诺如下：</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一、我方完全理解并接受该项目</w:t>
      </w:r>
      <w:r>
        <w:rPr>
          <w:rFonts w:hint="eastAsia" w:ascii="仿宋" w:hAnsi="仿宋" w:eastAsia="仿宋" w:cs="仿宋"/>
          <w:sz w:val="32"/>
          <w:szCs w:val="32"/>
          <w:highlight w:val="none"/>
          <w:lang w:eastAsia="zh-CN"/>
        </w:rPr>
        <w:t>招标</w:t>
      </w:r>
      <w:r>
        <w:rPr>
          <w:rFonts w:hint="eastAsia" w:ascii="仿宋" w:hAnsi="仿宋" w:eastAsia="仿宋" w:cs="仿宋"/>
          <w:sz w:val="32"/>
          <w:szCs w:val="32"/>
          <w:highlight w:val="none"/>
        </w:rPr>
        <w:t>文件的所有要求。</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二、我方严格遵守《中华人民共和国政府采购法》《中华人民共和国民法典》及相关法律、法规的规定，如有违反，承担相应的法律责任。</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三、我方在报价表中的报价为响应总报价。</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四、我方同意提供贵方要求的与</w:t>
      </w:r>
      <w:r>
        <w:rPr>
          <w:rFonts w:hint="eastAsia" w:ascii="仿宋" w:hAnsi="仿宋" w:eastAsia="仿宋" w:cs="仿宋"/>
          <w:sz w:val="32"/>
          <w:szCs w:val="32"/>
          <w:highlight w:val="none"/>
          <w:lang w:eastAsia="zh-CN"/>
        </w:rPr>
        <w:t>招标</w:t>
      </w:r>
      <w:r>
        <w:rPr>
          <w:rFonts w:hint="eastAsia" w:ascii="仿宋" w:hAnsi="仿宋" w:eastAsia="仿宋" w:cs="仿宋"/>
          <w:sz w:val="32"/>
          <w:szCs w:val="32"/>
          <w:highlight w:val="none"/>
        </w:rPr>
        <w:t>有关的任何数据和资料。</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五、我方将按照招标文件、响应文件等要求，签订并严格执行施工合同。</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六、我方响应报价已包含应向知识产权所有权人支付的所有相关税费，并保证采购人在使用我方提供的货物时，如第三方提出侵犯其知识产权主张的，责任由我方承担。</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七、我方承诺未为本项目提供整体设计、规范编制或者项目管理、监理、检测等服务。</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八、我方提供的响应文件内容全部真实有效，如有虚假或隐瞒，我方愿意承担一切法律责任。</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详细地址：</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邮政编码：</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电 话：</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电子邮箱：</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供应商开户银行：</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账号/行号：</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供应商名称 (盖章) ：</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法定代表人或授权委托人 (签字) ：</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r>
        <w:rPr>
          <w:rFonts w:hint="eastAsia" w:ascii="仿宋" w:hAnsi="仿宋" w:eastAsia="仿宋" w:cs="仿宋"/>
          <w:sz w:val="32"/>
          <w:szCs w:val="32"/>
          <w:highlight w:val="none"/>
        </w:rPr>
        <w:t>年  月  日</w:t>
      </w:r>
    </w:p>
    <w:p>
      <w:pPr>
        <w:keepNext w:val="0"/>
        <w:keepLines w:val="0"/>
        <w:pageBreakBefore w:val="0"/>
        <w:widowControl/>
        <w:kinsoku w:val="0"/>
        <w:wordWrap/>
        <w:overflowPunct/>
        <w:topLinePunct w:val="0"/>
        <w:autoSpaceDE w:val="0"/>
        <w:autoSpaceDN w:val="0"/>
        <w:bidi w:val="0"/>
        <w:adjustRightInd w:val="0"/>
        <w:snapToGrid w:val="0"/>
        <w:spacing w:line="240" w:lineRule="atLeast"/>
        <w:ind w:firstLine="640" w:firstLineChars="200"/>
        <w:textAlignment w:val="baseline"/>
        <w:rPr>
          <w:rFonts w:hint="eastAsia" w:ascii="仿宋" w:hAnsi="仿宋" w:eastAsia="仿宋" w:cs="仿宋"/>
          <w:sz w:val="32"/>
          <w:szCs w:val="32"/>
          <w:highlight w:val="none"/>
        </w:rPr>
      </w:pPr>
    </w:p>
    <w:sectPr>
      <w:footerReference r:id="rId5" w:type="default"/>
      <w:pgSz w:w="11900" w:h="16840"/>
      <w:pgMar w:top="1440" w:right="1080" w:bottom="1440" w:left="1080"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79" w:lineRule="auto"/>
      <w:ind w:left="4415"/>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1ED902"/>
    <w:multiLevelType w:val="singleLevel"/>
    <w:tmpl w:val="E11ED902"/>
    <w:lvl w:ilvl="0" w:tentative="0">
      <w:start w:val="2"/>
      <w:numFmt w:val="decimal"/>
      <w:suff w:val="space"/>
      <w:lvlText w:val="%1."/>
      <w:lvlJc w:val="left"/>
    </w:lvl>
  </w:abstractNum>
  <w:abstractNum w:abstractNumId="1">
    <w:nsid w:val="34A6FD1C"/>
    <w:multiLevelType w:val="singleLevel"/>
    <w:tmpl w:val="34A6FD1C"/>
    <w:lvl w:ilvl="0" w:tentative="0">
      <w:start w:val="4"/>
      <w:numFmt w:val="decimal"/>
      <w:suff w:val="nothing"/>
      <w:lvlText w:val="%1、"/>
      <w:lvlJc w:val="left"/>
    </w:lvl>
  </w:abstractNum>
  <w:abstractNum w:abstractNumId="2">
    <w:nsid w:val="430D98C7"/>
    <w:multiLevelType w:val="singleLevel"/>
    <w:tmpl w:val="430D98C7"/>
    <w:lvl w:ilvl="0" w:tentative="0">
      <w:start w:val="10"/>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jZhZGI0YTZmNjBjMTQzYTMyODgxNTMxZGQxOGJjNTgifQ=="/>
  </w:docVars>
  <w:rsids>
    <w:rsidRoot w:val="00000000"/>
    <w:rsid w:val="00FB3201"/>
    <w:rsid w:val="18812024"/>
    <w:rsid w:val="1E635082"/>
    <w:rsid w:val="1FD47844"/>
    <w:rsid w:val="22C02AA3"/>
    <w:rsid w:val="25DE1BBE"/>
    <w:rsid w:val="2C9F6F43"/>
    <w:rsid w:val="3051264B"/>
    <w:rsid w:val="3161559A"/>
    <w:rsid w:val="31FE0EF2"/>
    <w:rsid w:val="3ED045EF"/>
    <w:rsid w:val="405368AD"/>
    <w:rsid w:val="41B31CF9"/>
    <w:rsid w:val="4D526551"/>
    <w:rsid w:val="54251EFC"/>
    <w:rsid w:val="586C27AA"/>
    <w:rsid w:val="606D1E3E"/>
    <w:rsid w:val="670814C3"/>
    <w:rsid w:val="6C535F41"/>
    <w:rsid w:val="790075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8">
    <w:name w:val="Default Paragraph Font"/>
    <w:semiHidden/>
    <w:qFormat/>
    <w:uiPriority w:val="0"/>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5327</Words>
  <Characters>5481</Characters>
  <TotalTime>11</TotalTime>
  <ScaleCrop>false</ScaleCrop>
  <LinksUpToDate>false</LinksUpToDate>
  <CharactersWithSpaces>5616</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2023-06-02T15:00:00Z</dcterms:created>
  <dc:creator>Administrator</dc:creator>
  <cp:lastModifiedBy>静静</cp:lastModifiedBy>
  <dcterms:modified xsi:type="dcterms:W3CDTF">2024-06-27T06:32:08Z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2023-06-05T09:27:23Z</vt:filetime>
  </property>
  <property fmtid="{D5CDD505-2E9C-101B-9397-08002B2CF9AE}" pid="4" name="KSOProductBuildVer">
    <vt:lpwstr>2052-12.1.0.16929</vt:lpwstr>
  </property>
  <property fmtid="{D5CDD505-2E9C-101B-9397-08002B2CF9AE}" pid="5" name="ICV">
    <vt:lpwstr>7DF964D302AA44888A0274B0ED6A4CBB_13</vt:lpwstr>
  </property>
</Properties>
</file>