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overflowPunct/>
        <w:topLinePunct w:val="0"/>
        <w:autoSpaceDE/>
        <w:autoSpaceDN/>
        <w:bidi w:val="0"/>
        <w:adjustRightInd/>
        <w:snapToGrid/>
        <w:spacing w:line="600" w:lineRule="exact"/>
        <w:ind w:firstLine="0"/>
        <w:jc w:val="center"/>
        <w:textAlignment w:val="auto"/>
        <w:rPr>
          <w:rFonts w:ascii="方正小标宋简体" w:eastAsia="方正小标宋简体" w:cs="方正小标宋简体" w:hAnsi="方正小标宋简体" w:hint="eastAsia"/>
          <w:sz w:val="44"/>
          <w:szCs w:val="44"/>
          <w:lang w:val="en-US" w:eastAsia="zh-CN"/>
        </w:rPr>
      </w:pPr>
      <w:r>
        <w:rPr>
          <w:rFonts w:ascii="方正小标宋简体" w:eastAsia="方正小标宋简体" w:cs="方正小标宋简体" w:hAnsi="方正小标宋简体" w:hint="eastAsia"/>
          <w:sz w:val="44"/>
          <w:szCs w:val="44"/>
          <w:lang w:val="en-US" w:eastAsia="zh-CN"/>
        </w:rPr>
        <w:t>额尔古纳市卫生健康委员会2023年双随机</w:t>
      </w:r>
      <w:r>
        <w:rPr>
          <w:rFonts w:ascii="方正小标宋简体" w:eastAsia="方正小标宋简体" w:cs="方正小标宋简体" w:hAnsi="方正小标宋简体"/>
          <w:sz w:val="44"/>
          <w:szCs w:val="44"/>
          <w:lang w:val="en-US" w:eastAsia="zh-CN"/>
        </w:rPr>
        <w:t>、</w:t>
      </w:r>
      <w:r>
        <w:rPr>
          <w:rFonts w:ascii="方正小标宋简体" w:eastAsia="方正小标宋简体" w:cs="方正小标宋简体" w:hAnsi="方正小标宋简体" w:hint="eastAsia"/>
          <w:sz w:val="44"/>
          <w:szCs w:val="44"/>
          <w:lang w:val="en-US" w:eastAsia="zh-CN"/>
        </w:rPr>
        <w:t>一公开检查结果情况汇总</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Style w:val="17"/>
          <w:rFonts w:ascii="黑体" w:eastAsia="黑体" w:cs="黑体" w:hAnsi="黑体" w:hint="eastAsia"/>
          <w:b w:val="0"/>
          <w:bCs w:val="0"/>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lang w:val="en-US" w:eastAsia="zh-CN"/>
        </w:rPr>
      </w:pPr>
      <w:r>
        <w:rPr>
          <w:rStyle w:val="17"/>
          <w:rFonts w:ascii="黑体" w:eastAsia="黑体" w:cs="黑体" w:hAnsi="黑体" w:hint="eastAsia"/>
          <w:b w:val="0"/>
          <w:bCs w:val="0"/>
          <w:sz w:val="32"/>
          <w:szCs w:val="32"/>
          <w:lang w:val="en-US" w:eastAsia="zh-CN"/>
        </w:rPr>
        <w:t>跨部门公共场所卫生双随机</w:t>
      </w:r>
      <w:r>
        <w:rPr>
          <w:rStyle w:val="17"/>
          <w:rFonts w:ascii="黑体" w:eastAsia="黑体" w:cs="黑体" w:hAnsi="黑体"/>
          <w:b w:val="0"/>
          <w:bCs w:val="0"/>
          <w:sz w:val="32"/>
          <w:szCs w:val="32"/>
          <w:lang w:val="en-US" w:eastAsia="zh-CN"/>
        </w:rPr>
        <w:t>、</w:t>
      </w:r>
      <w:r>
        <w:rPr>
          <w:rStyle w:val="17"/>
          <w:rFonts w:ascii="黑体" w:eastAsia="黑体" w:cs="黑体" w:hAnsi="黑体" w:hint="eastAsia"/>
          <w:b w:val="0"/>
          <w:bCs w:val="0"/>
          <w:sz w:val="32"/>
          <w:szCs w:val="32"/>
          <w:lang w:val="en-US" w:eastAsia="zh-CN"/>
        </w:rPr>
        <w:t>一公开检查结果汇总表</w:t>
      </w:r>
    </w:p>
    <w:tbl>
      <w:tblPr>
        <w:jc w:val="center"/>
        <w:tblW w:w="4889" w:type="pct"/>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Look w:val="0600" w:firstRow="0" w:lastRow="0" w:firstColumn="0" w:lastColumn="0" w:noHBand="1" w:noVBand="1"/>
      </w:tblPr>
      <w:tblGrid>
        <w:gridCol w:w="726"/>
        <w:gridCol w:w="2606"/>
        <w:gridCol w:w="5048"/>
        <w:gridCol w:w="1581"/>
        <w:gridCol w:w="4"/>
      </w:tblGrid>
      <w:tr>
        <w:trPr>
          <w:trHeight w:val="255"/>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序号</w:t>
            </w:r>
          </w:p>
        </w:tc>
        <w:tc>
          <w:tcPr>
            <w:tcW w:w="1307"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keepNext w:val="0"/>
              <w:keepLines w:val="0"/>
              <w:widowControl/>
              <w:suppressLineNumbers w:val="0"/>
              <w:jc w:val="center"/>
              <w:textAlignment w:val="bottom"/>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主体名称</w:t>
            </w:r>
          </w:p>
        </w:tc>
        <w:tc>
          <w:tcPr>
            <w:tcW w:w="253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pPr>
              <w:keepNext w:val="0"/>
              <w:keepLines w:val="0"/>
              <w:widowControl/>
              <w:suppressLineNumbers w:val="0"/>
              <w:jc w:val="center"/>
              <w:textAlignment w:val="bottom"/>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本单位检查事项</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bottom"/>
          </w:tcPr>
          <w:p>
            <w:pPr>
              <w:keepNext w:val="0"/>
              <w:keepLines w:val="0"/>
              <w:widowControl/>
              <w:suppressLineNumbers w:val="0"/>
              <w:jc w:val="center"/>
              <w:textAlignment w:val="bottom"/>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检查结果</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额尔古纳市自由国度网咖</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额尔古纳市室韦伊兰人家度假山庄</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3</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额尔古纳市恩和维克多庄园</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4</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额尔古纳市室韦伊利亚旅游之家</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5</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额尔古纳市室韦安德列旅游之家</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6</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额尔古纳市室韦安晓慧家庭游</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7</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额尔古纳市室韦边柳芭旅游之家</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8</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额尔古纳市鸿泽大酒店有限公司</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9</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额尔古纳市拉布大林缘缘缘宾馆</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5"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2640"/>
          <w:gridAfter w:val="1"/>
          <w:wAfter w:w="4" w:type="dxa"/>
        </w:trPr>
        <w:tc>
          <w:tcPr>
            <w:tcW w:w="3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10</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额尔古纳市室韦泰和源旅游之家</w:t>
            </w:r>
          </w:p>
        </w:tc>
        <w:tc>
          <w:tcPr>
            <w:tcW w:w="2532"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公共场所经营者安排未获得有效健康合格证明的从业人员从事直接为顾客服务工作的检查；</w:t>
              <w:br/>
              <w:t>对未按照规定对公共场所的空气、微小气候、水质、采光、照明、噪声、顾客用品用具等进行卫生检测的检查</w:t>
            </w:r>
          </w:p>
        </w:tc>
        <w:tc>
          <w:tcPr>
            <w:tcW w:w="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bl>
    <w:p>
      <w:pPr>
        <w:jc w:val="center"/>
        <w:rPr>
          <w:rFonts w:ascii="宋体" w:eastAsia="宋体" w:cs="宋体" w:hAnsi="宋体" w:hint="eastAsia"/>
        </w:rPr>
      </w:pPr>
    </w:p>
    <w:p>
      <w:pPr>
        <w:pStyle w:val="15"/>
        <w:rPr>
          <w:rFonts w:hint="eastAsia"/>
        </w:rPr>
      </w:pPr>
    </w:p>
    <w:p>
      <w:pPr>
        <w:pStyle w:val="15"/>
        <w:jc w:val="center"/>
        <w:rPr>
          <w:rFonts w:hint="eastAsia"/>
        </w:rPr>
      </w:pPr>
      <w:r>
        <w:rPr>
          <w:rStyle w:val="17"/>
          <w:rFonts w:ascii="黑体" w:eastAsia="黑体" w:cs="黑体" w:hAnsi="黑体" w:hint="eastAsia"/>
          <w:b w:val="0"/>
          <w:bCs w:val="0"/>
          <w:sz w:val="32"/>
          <w:szCs w:val="32"/>
          <w:lang w:val="en-US" w:eastAsia="zh-CN"/>
        </w:rPr>
        <w:t>本部门公共场所卫生双随机</w:t>
      </w:r>
      <w:r>
        <w:rPr>
          <w:rStyle w:val="17"/>
          <w:rFonts w:ascii="黑体" w:eastAsia="黑体" w:cs="黑体" w:hAnsi="黑体"/>
          <w:b w:val="0"/>
          <w:bCs w:val="0"/>
          <w:sz w:val="32"/>
          <w:szCs w:val="32"/>
          <w:lang w:val="en-US" w:eastAsia="zh-CN"/>
        </w:rPr>
        <w:t>、</w:t>
      </w:r>
      <w:bookmarkStart w:id="0" w:name="_GoBack"/>
      <w:bookmarkEnd w:id="0"/>
      <w:r>
        <w:rPr>
          <w:rStyle w:val="17"/>
          <w:rFonts w:ascii="黑体" w:eastAsia="黑体" w:cs="黑体" w:hAnsi="黑体" w:hint="eastAsia"/>
          <w:b w:val="0"/>
          <w:bCs w:val="0"/>
          <w:sz w:val="32"/>
          <w:szCs w:val="32"/>
          <w:lang w:val="en-US" w:eastAsia="zh-CN"/>
        </w:rPr>
        <w:t>一公开检查结果汇总表</w:t>
      </w:r>
    </w:p>
    <w:tbl>
      <w:tblPr>
        <w:jc w:val="center"/>
        <w:tblW w:w="4892" w:type="pct"/>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Look w:val="0600" w:firstRow="0" w:lastRow="0" w:firstColumn="0" w:lastColumn="0" w:noHBand="1" w:noVBand="1"/>
      </w:tblPr>
      <w:tblGrid>
        <w:gridCol w:w="732"/>
        <w:gridCol w:w="2607"/>
        <w:gridCol w:w="5045"/>
        <w:gridCol w:w="1586"/>
      </w:tblGrid>
      <w:tr>
        <w:trPr>
          <w:trHeight w:val="255"/>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序号</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主体名称</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检查事项</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黑体" w:eastAsia="黑体" w:cs="黑体" w:hAnsi="黑体" w:hint="eastAsia"/>
                <w:b w:val="0"/>
                <w:bCs w:val="0"/>
                <w:i w:val="0"/>
                <w:iCs w:val="0"/>
                <w:color w:val="000000"/>
                <w:sz w:val="20"/>
                <w:szCs w:val="20"/>
                <w:u w:val="none"/>
              </w:rPr>
            </w:pPr>
            <w:r>
              <w:rPr>
                <w:rFonts w:ascii="黑体" w:eastAsia="黑体" w:cs="黑体" w:hAnsi="黑体" w:hint="eastAsia"/>
                <w:b w:val="0"/>
                <w:bCs w:val="0"/>
                <w:i w:val="0"/>
                <w:iCs w:val="0"/>
                <w:color w:val="000000"/>
                <w:kern w:val="0"/>
                <w:sz w:val="20"/>
                <w:szCs w:val="20"/>
                <w:u w:val="none"/>
                <w:lang w:val="en-US" w:eastAsia="zh-CN"/>
              </w:rPr>
              <w:t>检查结果</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额尔古纳市室韦玉龙大酒店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额尔古纳市室韦泰和源旅游之家</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3</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额尔古纳市室韦玛丽娜家庭游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4</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额尔古纳市室韦新口岸桥宾馆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5</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额尔古纳市室韦蓝湖假日酒店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6</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额尔古纳市室韦维客多庄园</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7</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额尔古纳市室韦云彩丽家庭游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8</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额尔古纳市室韦边柳芭旅游之家</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9</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额尔古纳市室韦桦树林山庄</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10</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额尔古纳市室韦张玉秋家庭游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11</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额尔古纳市室韦富盛宾馆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12</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额尔古纳市室韦柳达家庭游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13</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额尔古纳市室韦喀秋莎乡村俱乐部</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14</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额尔古纳市室韦安娜之家家庭游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15</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额尔古纳市室韦海洋宾馆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16</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额尔古纳市室韦右岸酒店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17</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额尔古纳市室韦金昌度假村</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18</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额尔古纳市恩和玛琳娜家庭游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19</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额尔古纳市室韦伊利亚旅游之家</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20</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额尔古纳市黑山头渔村家庭游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停业</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21</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额尔古纳市室韦临江安娜家庭游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停业</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22</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额尔古纳市室韦临江嘎佳家庭游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23</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额尔古纳市黑山头鸿盛源宾馆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24</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额尔古纳市黑山头牧人之家旅店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25</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额尔古纳市拉布大林立领大酒店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26</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额尔古纳市千鹤大酒店</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27</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额尔古纳市北纬五十度精品酒店有限公司</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28</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额尔古纳市拉布大林佑鸿轩公寓馆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29</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额尔古纳市拉布大林尚赫美容美体养生会馆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注销</w:t>
            </w:r>
          </w:p>
        </w:tc>
      </w:tr>
      <w:tr>
        <w:trPr>
          <w:trHeight w:val="6600"/>
        </w:trPr>
        <w:tc>
          <w:tcPr>
            <w:tcW w:w="3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30</w:t>
            </w:r>
          </w:p>
        </w:tc>
        <w:tc>
          <w:tcPr>
            <w:tcW w:w="1307"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额尔古纳市拉布大林晟枫宾馆</w:t>
            </w:r>
          </w:p>
        </w:tc>
        <w:tc>
          <w:tcPr>
            <w:tcW w:w="252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（1）对未按照规定公示公共场所卫生许可证、卫生检测结果和卫生信誉度等级的检查；</w:t>
              <w:br/>
              <w:t>（2）对未按照规定索取公共卫生用品检验合格证明和其他相关资料的检查 ；</w:t>
              <w:br/>
              <w:t>（3）公共场所经营者安排未获得有效健康合格证明的从业人员从事直接为顾客服务工作的检查 ；</w:t>
              <w:br/>
              <w:t>（4）对未按照规定办理公共场所卫生许可证复核手续的检查 ；</w:t>
              <w:br/>
              <w:t>（5）对未按照规定对公共场所的空气、微小气候、水质、采光、照明、噪声、顾客用品用具等进行卫生检测的检查 ；</w:t>
              <w:br/>
              <w:t>（6）对未按照规定设置与其经营规模、项目相适应的清洗、消毒、保洁、盥洗等设施设备和公共卫生间，或者擅自停止使用、拆除上述设施设备，或者挪作他用的检查 。</w:t>
            </w:r>
          </w:p>
        </w:tc>
        <w:tc>
          <w:tcPr>
            <w:tcW w:w="7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Ansi="宋体" w:hint="eastAsia"/>
                <w:i w:val="0"/>
                <w:iCs w:val="0"/>
                <w:color w:val="000000"/>
                <w:sz w:val="20"/>
                <w:szCs w:val="20"/>
                <w:u w:val="none"/>
              </w:rPr>
            </w:pPr>
            <w:r>
              <w:rPr>
                <w:rFonts w:ascii="宋体" w:eastAsia="宋体" w:cs="宋体" w:hAnsi="宋体" w:hint="eastAsia"/>
                <w:i w:val="0"/>
                <w:iCs w:val="0"/>
                <w:color w:val="000000"/>
                <w:kern w:val="0"/>
                <w:sz w:val="20"/>
                <w:szCs w:val="20"/>
                <w:u w:val="none"/>
                <w:lang w:val="en-US" w:eastAsia="zh-CN"/>
              </w:rPr>
              <w:t>正常经营</w:t>
            </w:r>
          </w:p>
        </w:tc>
      </w:tr>
    </w:tbl>
    <w:p>
      <w:pPr>
        <w:jc w:val="center"/>
        <w:rPr>
          <w:rFonts w:ascii="宋体" w:eastAsia="宋体" w:cs="宋体" w:hAnsi="宋体" w:hint="eastAsia"/>
        </w:rPr>
      </w:pPr>
    </w:p>
    <w:sectPr>
      <w:pgSz w:w="11906" w:h="16838"/>
      <w:pgMar w:top="1440" w:right="964" w:bottom="1440" w:left="964" w:header="851" w:footer="992" w:gutter="0"/>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panose1 w:val="03000509000000000000"/>
    <w:charset w:val="86"/>
    <w:family w:val="auto"/>
    <w:pitch w:val="variable"/>
    <w:sig w:usb0="00000001" w:usb1="080E0000" w:usb2="00000000" w:usb3="00000000" w:csb0="00040000" w:csb1="00000000"/>
  </w:font>
  <w:font w:name="黑体">
    <w:altName w:val="方正黑体_GBK"/>
    <w:panose1 w:val="02010609060101010101"/>
    <w:charset w:val="86"/>
    <w:family w:val="auto"/>
    <w:pitch w:val="variable"/>
    <w:sig w:usb0="800002BF" w:usb1="38CF7CFA" w:usb2="00000016" w:usb3="00000000" w:csb0="00040001" w:csb1="00000000"/>
  </w:font>
  <w:font w:name="宋体">
    <w:altName w:val="华文中宋"/>
    <w:panose1 w:val="02010600030101010101"/>
    <w:charset w:val="50"/>
    <w:family w:val="auto"/>
    <w:pitch w:val="variable"/>
    <w:sig w:usb0="00000003" w:usb1="288F0000" w:usb2="00000006" w:usb3="00000000" w:csb0="00040001" w:csb1="00000000"/>
  </w:font>
  <w:font w:name="Times New Roman">
    <w:altName w:val="方正黑体_GBK"/>
    <w:panose1 w:val="02020603050405020304"/>
    <w:charset w:val="86"/>
    <w:family w:val="auto"/>
    <w:pitch w:val="variable"/>
    <w:sig w:usb0="E0002AFF" w:usb1="C0007841" w:usb2="00000009" w:usb3="00000000" w:csb0="400001FF" w:csb1="FFFF0000"/>
  </w:font>
  <w:font w:name="Lucida Sans">
    <w:panose1 w:val="020B0602030504020204"/>
    <w:charset w:val="00"/>
    <w:family w:val="auto"/>
    <w:pitch w:val="variable"/>
    <w:sig w:usb0="00000003" w:usb1="00000000" w:usb2="00000000" w:usb3="00000000" w:csb0="20000001" w:csb1="00000000"/>
  </w:font>
  <w:font w:name="Calibri">
    <w:altName w:val="DejaVu Sans"/>
    <w:panose1 w:val="020F0502020204030204"/>
    <w:charset w:val="00"/>
    <w:family w:val="swiss"/>
    <w:pitch w:val="variable"/>
    <w:sig w:usb0="E10002FF" w:usb1="4000ACFF" w:usb2="00000009" w:usb3="00000000" w:csb0="2000019F" w:csb1="00000000"/>
  </w:font>
  <w:font w:name="Arial">
    <w:altName w:val="DejaVu Sans"/>
    <w:panose1 w:val="020B0604020202020204"/>
    <w:charset w:val="01"/>
    <w:family w:val="swiss"/>
    <w:pitch w:val="variable"/>
    <w:sig w:usb0="E0002AFF" w:usb1="C0007843" w:usb2="00000009" w:usb3="00000000" w:csb0="400001FF" w:csb1="FFFF0000"/>
  </w:font>
  <w:font w:name="文泉驿微米黑">
    <w:panose1 w:val="020B0606030804020204"/>
    <w:charset w:val="86"/>
    <w:family w:val="auto"/>
    <w:pitch w:val="variable"/>
    <w:sig w:usb0="E10002EF" w:usb1="6BDFFCFB" w:usb2="00800036" w:usb3="00000000" w:csb0="603E019F" w:csb1="DFD7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NzdlOGQwNDNkN2NkNzdmNTM4ODI4MTJjZDc5Njc1MDIifQ=="/>
  </w:docVars>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qFormat/>
    <w:next w:val="15"/>
    <w:pPr>
      <w:widowControl w:val="0"/>
      <w:jc w:val="both"/>
    </w:pPr>
    <w:rPr>
      <w:rFonts w:ascii="Calibri" w:eastAsia="宋体" w:cs="Arial" w:hAnsi="Calibri"/>
      <w:kern w:val="2"/>
      <w:sz w:val="21"/>
      <w:szCs w:val="24"/>
      <w:lang w:val="en-US" w:eastAsia="zh-CN" w:bidi="ar-SA"/>
    </w:rPr>
  </w:style>
  <w:style w:type="paragraph" w:styleId="1">
    <w:name w:val="heading 1"/>
    <w:qFormat/>
    <w:basedOn w:val="0"/>
    <w:next w:val="0"/>
    <w:link w:val="1Char"/>
    <w:pPr>
      <w:keepNext/>
      <w:keepLines/>
      <w:spacing w:before="340" w:after="330" w:line="578" w:lineRule="auto"/>
      <w:outlineLvl w:val="0"/>
    </w:pPr>
    <w:rPr>
      <w:b/>
      <w:bCs/>
      <w:kern w:val="44"/>
      <w:sz w:val="44"/>
      <w:szCs w:val="44"/>
    </w:rPr>
  </w:style>
  <w:style w:type="character" w:customStyle="1" w:styleId="1Char">
    <w:name w:val="heading 1 Char"/>
    <w:basedOn w:val="10"/>
    <w:link w:val="1"/>
    <w:rPr>
      <w:rFonts w:ascii="Calibri" w:eastAsia="宋体" w:cs="Arial" w:hAnsi="Calibri"/>
      <w:b/>
      <w:bCs/>
      <w:kern w:val="44"/>
      <w:sz w:val="44"/>
      <w:szCs w:val="44"/>
      <w:lang w:val="en-US" w:eastAsia="zh-CN" w:bidi="ar-SA"/>
    </w:rPr>
  </w:style>
  <w:style w:type="paragraph" w:styleId="2">
    <w:name w:val="heading 2"/>
    <w:qFormat/>
    <w:basedOn w:val="0"/>
    <w:next w:val="0"/>
    <w:link w:val="2Char"/>
    <w:pPr>
      <w:keepNext/>
      <w:keepLines/>
      <w:spacing w:before="260" w:after="260" w:line="415" w:lineRule="auto"/>
      <w:outlineLvl w:val="1"/>
    </w:pPr>
    <w:rPr>
      <w:rFonts w:ascii="文泉驿微米黑" w:eastAsia="黑体" w:hAnsi="文泉驿微米黑"/>
      <w:b/>
      <w:bCs/>
      <w:sz w:val="32"/>
      <w:szCs w:val="32"/>
    </w:rPr>
  </w:style>
  <w:style w:type="character" w:customStyle="1" w:styleId="2Char">
    <w:name w:val="heading 2 Char"/>
    <w:basedOn w:val="10"/>
    <w:link w:val="2"/>
    <w:rPr>
      <w:rFonts w:ascii="文泉驿微米黑" w:eastAsia="黑体" w:cs="Arial" w:hAnsi="Calibri"/>
      <w:b/>
      <w:bCs/>
      <w:kern w:val="2"/>
      <w:sz w:val="32"/>
      <w:szCs w:val="32"/>
      <w:lang w:val="en-US" w:eastAsia="zh-CN"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Calibri" w:eastAsia="宋体" w:cs="Arial" w:hAnsi="Calibri"/>
      <w:b/>
      <w:bCs/>
      <w:kern w:val="2"/>
      <w:sz w:val="32"/>
      <w:szCs w:val="32"/>
      <w:lang w:val="en-US" w:eastAsia="zh-CN" w:bidi="ar-SA"/>
    </w:rPr>
  </w:style>
  <w:style w:type="character" w:default="1" w:styleId="10">
    <w:name w:val="Default Paragraph Font"/>
    <w:qFormat/>
  </w:style>
  <w:style w:type="paragraph" w:styleId="15">
    <w:name w:val="Body Text 2"/>
    <w:qFormat/>
    <w:basedOn w:val="0"/>
    <w:pPr>
      <w:spacing w:line="480" w:lineRule="auto"/>
    </w:pPr>
  </w:style>
  <w:style w:type="character" w:customStyle="1" w:styleId="16">
    <w:name w:val="font21"/>
    <w:qFormat/>
    <w:basedOn w:val="10"/>
    <w:rPr>
      <w:rFonts w:ascii="Arial" w:cs="Arial" w:hAnsi="Arial"/>
      <w:b/>
      <w:bCs/>
      <w:color w:val="000000"/>
      <w:sz w:val="32"/>
      <w:szCs w:val="32"/>
      <w:u w:val="none"/>
    </w:rPr>
  </w:style>
  <w:style w:type="character" w:customStyle="1" w:styleId="17">
    <w:name w:val="font11"/>
    <w:qFormat/>
    <w:basedOn w:val="10"/>
    <w:rPr>
      <w:rFonts w:ascii="宋体" w:eastAsia="宋体" w:cs="宋体" w:hAnsi="宋体"/>
      <w:b/>
      <w:bCs/>
      <w:color w:val="000000"/>
      <w:sz w:val="32"/>
      <w:szCs w:val="32"/>
      <w:u w:val="none"/>
    </w:rPr>
  </w:style>
  <w:style w:type="character" w:customStyle="1" w:styleId="18">
    <w:name w:val="font41"/>
    <w:qFormat/>
    <w:basedOn w:val="10"/>
    <w:rPr>
      <w:rFonts w:ascii="Arial" w:cs="Arial" w:hAnsi="Arial"/>
      <w:b/>
      <w:bCs/>
      <w:color w:val="000000"/>
      <w:sz w:val="32"/>
      <w:szCs w:val="32"/>
      <w:u w:val="none"/>
    </w:rPr>
  </w:style>
  <w:style w:type="character" w:customStyle="1" w:styleId="19">
    <w:name w:val="font51"/>
    <w:qFormat/>
    <w:basedOn w:val="10"/>
    <w:rPr>
      <w:rFonts w:ascii="Arial" w:cs="Arial" w:hAnsi="Arial"/>
      <w:b/>
      <w:bCs/>
      <w:color w:val="000000"/>
      <w:sz w:val="32"/>
      <w:szCs w:val="32"/>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customXml" Target="../customXml/item1.xml"/><Relationship Id="rId5" Type="http://schemas.openxmlformats.org/officeDocument/2006/relationships/theme" Target="theme/theme1.xml"/></Relationships>
</file>

<file path=word/theme/theme1.xml><?xml version="1.0" encoding="utf-8"?>
<a:theme xmlns:a="http://schemas.openxmlformats.org/drawing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
        <a:ea typeface=""/>
        <a:cs typeface=""/>
      </a:majorFont>
      <a:minorFont>
        <a:latin typeface=""/>
        <a:ea typeface=""/>
        <a:cs typeface=""/>
      </a:minorFont>
    </a:fontScheme>
    <a:fmtScheme name="WPS">
      <a:fillStyleLst>
        <a:solidFill>
          <a:schemeClr val="phClr"/>
        </a:solidFill>
        <a:gradFill rotWithShape="1">
          <a:gsLst>
            <a:gs pos="0">
              <a:schemeClr val="phClr">
                <a:lumOff val="17500"/>
              </a:schemeClr>
            </a:gs>
            <a:gs pos="100000">
              <a:schemeClr val="phClr"/>
            </a:gs>
          </a:gsLst>
          <a:lin ang="2700000" scaled="1"/>
        </a:gradFill>
        <a:gradFill rotWithShape="1">
          <a:gsLst>
            <a:gs pos="0">
              <a:schemeClr val="phClr">
                <a:hueOff val="-2520000"/>
              </a:schemeClr>
            </a:gs>
            <a:gs pos="100000">
              <a:schemeClr val="phClr"/>
            </a:gs>
          </a:gsLst>
          <a:lin ang="2700000" scaled="1"/>
        </a:gradFill>
      </a:fillStyleLst>
      <a:lnStyleLst>
        <a:ln w="12700" cmpd="sng" cap="flat">
          <a:solidFill>
            <a:schemeClr val="phClr"/>
          </a:solidFill>
          <a:prstDash val="solid"/>
          <a:miter/>
        </a:ln>
        <a:ln w="12700" cmpd="sng" cap="flat">
          <a:solidFill>
            <a:schemeClr val="phClr"/>
          </a:solidFill>
          <a:prstDash val="solid"/>
          <a:miter/>
        </a:ln>
        <a:ln w="12700" cmpd="sng" cap="flat">
          <a:gradFill rotWithShape="1">
            <a:gsLst>
              <a:gs pos="0">
                <a:schemeClr val="phClr">
                  <a:hueOff val="-4200000"/>
                </a:schemeClr>
              </a:gs>
              <a:gs pos="100000">
                <a:schemeClr val="phClr"/>
              </a:gs>
            </a:gsLst>
            <a:lin ang="2700000" scaled="1"/>
          </a:gradFill>
          <a:prstDash val="solid"/>
          <a:miter/>
        </a:ln>
      </a:lnStyleLst>
      <a:effectStyleLst>
        <a:effectStyle>
          <a:effectLst>
            <a:outerShdw sx="100000" sy="100000" algn="ctr" rotWithShape="0" blurRad="101600" dist="50800" dir="5400000">
              <a:schemeClr val="phClr">
                <a:alpha val="60000"/>
              </a:schemeClr>
            </a:outerShdw>
          </a:effectLst>
        </a:effectStyle>
        <a:effectStyle>
          <a:effectLst>
            <a:reflection stA="50000" endA="300" endPos="40000" dist="25400" dir="5400000" sy="-100000" algn="bl" rotWithShape="0"/>
          </a:effectLst>
        </a:effectStyle>
        <a:effectStyle>
          <a:effectLst>
            <a:outerShdw sx="100000" sy="100000" algn="ctr" rotWithShape="0" blurRad="57150" dist="19050" dir="540000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6A120CC9-B284-463E-827E-A920B882F68E}">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8</TotalTime>
  <Application>WPS_Yozo_Office9.0.5233.191ZH</Application>
  <Pages>18</Pages>
  <Words>0</Words>
  <Characters>7797</Characters>
  <Lines>0</Lines>
  <Paragraphs>9</Paragraphs>
  <CharactersWithSpaces>10396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机智嘟</dc:creator>
  <cp:lastModifiedBy>huawei</cp:lastModifiedBy>
  <cp:revision>1</cp:revision>
  <dcterms:created xsi:type="dcterms:W3CDTF">2023-10-19T09:15:00Z</dcterms:created>
  <dcterms:modified xsi:type="dcterms:W3CDTF">2024-09-27T02:58:14Z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2052-12.1.0.15712</vt:lpwstr>
  </property>
  <property fmtid="{D5CDD505-2E9C-101B-9397-08002B2CF9AE}" pid="3" name="ICV">
    <vt:lpwstr>A2C1639A068441E8AF67C585814C7C54_13</vt:lpwstr>
  </property>
</Properties>
</file>