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C6B18E">
      <w:pPr>
        <w:jc w:val="center"/>
        <w:rPr>
          <w:rFonts w:hint="eastAsia"/>
          <w:sz w:val="44"/>
          <w:szCs w:val="44"/>
          <w:lang w:eastAsia="zh-CN"/>
        </w:rPr>
      </w:pPr>
      <w:r>
        <w:rPr>
          <w:rFonts w:hint="eastAsia"/>
          <w:sz w:val="44"/>
          <w:szCs w:val="44"/>
          <w:lang w:eastAsia="zh-CN"/>
        </w:rPr>
        <w:t>额尔古纳市财政局202</w:t>
      </w:r>
      <w:r>
        <w:rPr>
          <w:rFonts w:hint="eastAsia"/>
          <w:sz w:val="44"/>
          <w:szCs w:val="44"/>
          <w:lang w:val="en-US" w:eastAsia="zh-CN"/>
        </w:rPr>
        <w:t>4</w:t>
      </w:r>
      <w:r>
        <w:rPr>
          <w:rFonts w:hint="eastAsia"/>
          <w:sz w:val="44"/>
          <w:szCs w:val="44"/>
          <w:lang w:eastAsia="zh-CN"/>
        </w:rPr>
        <w:t>年“双随机、一公开”会计信息质量检查</w:t>
      </w:r>
    </w:p>
    <w:p w14:paraId="5B426B5F">
      <w:pPr>
        <w:jc w:val="center"/>
        <w:rPr>
          <w:rFonts w:hint="eastAsia"/>
          <w:sz w:val="44"/>
          <w:szCs w:val="44"/>
          <w:lang w:eastAsia="zh-CN"/>
        </w:rPr>
      </w:pPr>
      <w:r>
        <w:rPr>
          <w:rFonts w:hint="eastAsia"/>
          <w:sz w:val="44"/>
          <w:szCs w:val="44"/>
          <w:lang w:eastAsia="zh-CN"/>
        </w:rPr>
        <w:t>检查结果公示</w:t>
      </w:r>
    </w:p>
    <w:p w14:paraId="659585FA">
      <w:pPr>
        <w:jc w:val="center"/>
        <w:rPr>
          <w:rFonts w:hint="eastAsia"/>
          <w:sz w:val="44"/>
          <w:szCs w:val="44"/>
          <w:lang w:eastAsia="zh-CN"/>
        </w:rPr>
      </w:pPr>
    </w:p>
    <w:tbl>
      <w:tblPr>
        <w:tblStyle w:val="4"/>
        <w:tblW w:w="5015" w:type="pct"/>
        <w:tblInd w:w="-7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5"/>
        <w:gridCol w:w="1410"/>
        <w:gridCol w:w="2387"/>
        <w:gridCol w:w="2314"/>
        <w:gridCol w:w="876"/>
        <w:gridCol w:w="2201"/>
        <w:gridCol w:w="892"/>
        <w:gridCol w:w="1763"/>
      </w:tblGrid>
      <w:tr w14:paraId="7C2B55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835" w:type="pct"/>
          </w:tcPr>
          <w:p w14:paraId="4E14ED18">
            <w:pPr>
              <w:jc w:val="center"/>
              <w:rPr>
                <w:rFonts w:hint="eastAsia"/>
                <w:sz w:val="21"/>
                <w:szCs w:val="21"/>
                <w:vertAlign w:val="baseline"/>
                <w:lang w:eastAsia="zh-CN"/>
              </w:rPr>
            </w:pPr>
            <w:bookmarkStart w:id="0" w:name="_GoBack"/>
            <w:bookmarkEnd w:id="0"/>
            <w:r>
              <w:rPr>
                <w:rFonts w:hint="eastAsia"/>
                <w:sz w:val="21"/>
                <w:szCs w:val="21"/>
                <w:vertAlign w:val="baseline"/>
                <w:lang w:eastAsia="zh-CN"/>
              </w:rPr>
              <w:t>任务编号</w:t>
            </w:r>
          </w:p>
        </w:tc>
        <w:tc>
          <w:tcPr>
            <w:tcW w:w="495" w:type="pct"/>
          </w:tcPr>
          <w:p w14:paraId="7E282D6E">
            <w:pPr>
              <w:jc w:val="center"/>
              <w:rPr>
                <w:rFonts w:hint="eastAsia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eastAsia="zh-CN"/>
              </w:rPr>
              <w:t>计划名称</w:t>
            </w:r>
          </w:p>
        </w:tc>
        <w:tc>
          <w:tcPr>
            <w:tcW w:w="839" w:type="pct"/>
          </w:tcPr>
          <w:p w14:paraId="66C2C37F">
            <w:pPr>
              <w:jc w:val="center"/>
              <w:rPr>
                <w:rFonts w:hint="eastAsia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eastAsia="zh-CN"/>
              </w:rPr>
              <w:t>主体名称</w:t>
            </w:r>
          </w:p>
        </w:tc>
        <w:tc>
          <w:tcPr>
            <w:tcW w:w="813" w:type="pct"/>
          </w:tcPr>
          <w:p w14:paraId="314EF766">
            <w:pPr>
              <w:jc w:val="center"/>
              <w:rPr>
                <w:rFonts w:hint="eastAsia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eastAsia="zh-CN"/>
              </w:rPr>
              <w:t>统一社会信用代码</w:t>
            </w:r>
          </w:p>
        </w:tc>
        <w:tc>
          <w:tcPr>
            <w:tcW w:w="308" w:type="pct"/>
          </w:tcPr>
          <w:p w14:paraId="1C5CE90B">
            <w:pPr>
              <w:jc w:val="center"/>
              <w:rPr>
                <w:rFonts w:hint="eastAsia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eastAsia="zh-CN"/>
              </w:rPr>
              <w:t>检查事项</w:t>
            </w:r>
          </w:p>
        </w:tc>
        <w:tc>
          <w:tcPr>
            <w:tcW w:w="774" w:type="pct"/>
          </w:tcPr>
          <w:p w14:paraId="149F4FBC">
            <w:pPr>
              <w:jc w:val="center"/>
              <w:rPr>
                <w:rFonts w:hint="eastAsia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eastAsia="zh-CN"/>
              </w:rPr>
              <w:t>检查内容</w:t>
            </w:r>
          </w:p>
        </w:tc>
        <w:tc>
          <w:tcPr>
            <w:tcW w:w="313" w:type="pct"/>
          </w:tcPr>
          <w:p w14:paraId="6DF21124">
            <w:pPr>
              <w:jc w:val="center"/>
              <w:rPr>
                <w:rFonts w:hint="eastAsia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eastAsia="zh-CN"/>
              </w:rPr>
              <w:t>检查依据</w:t>
            </w:r>
          </w:p>
        </w:tc>
        <w:tc>
          <w:tcPr>
            <w:tcW w:w="619" w:type="pct"/>
          </w:tcPr>
          <w:p w14:paraId="0AB11790">
            <w:pPr>
              <w:jc w:val="center"/>
              <w:rPr>
                <w:rFonts w:hint="eastAsia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eastAsia="zh-CN"/>
              </w:rPr>
              <w:t>检查结果</w:t>
            </w:r>
          </w:p>
        </w:tc>
      </w:tr>
      <w:tr w14:paraId="666C2D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4" w:hRule="atLeast"/>
        </w:trPr>
        <w:tc>
          <w:tcPr>
            <w:tcW w:w="835" w:type="pct"/>
            <w:vAlign w:val="center"/>
          </w:tcPr>
          <w:p w14:paraId="6960CC75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495" w:type="pct"/>
            <w:vMerge w:val="restart"/>
          </w:tcPr>
          <w:p w14:paraId="3E64C053">
            <w:pPr>
              <w:jc w:val="center"/>
              <w:rPr>
                <w:rFonts w:hint="eastAsia"/>
                <w:sz w:val="22"/>
                <w:szCs w:val="22"/>
                <w:vertAlign w:val="baseline"/>
                <w:lang w:eastAsia="zh-CN"/>
              </w:rPr>
            </w:pPr>
          </w:p>
          <w:p w14:paraId="2EB2029D">
            <w:pPr>
              <w:jc w:val="center"/>
              <w:rPr>
                <w:rFonts w:hint="eastAsia"/>
                <w:sz w:val="22"/>
                <w:szCs w:val="22"/>
                <w:vertAlign w:val="baseline"/>
                <w:lang w:eastAsia="zh-CN"/>
              </w:rPr>
            </w:pPr>
          </w:p>
          <w:p w14:paraId="50B54628">
            <w:pPr>
              <w:jc w:val="center"/>
              <w:rPr>
                <w:rFonts w:hint="eastAsia"/>
                <w:sz w:val="22"/>
                <w:szCs w:val="22"/>
                <w:vertAlign w:val="baseline"/>
                <w:lang w:eastAsia="zh-CN"/>
              </w:rPr>
            </w:pPr>
          </w:p>
          <w:p w14:paraId="0A564D44">
            <w:pPr>
              <w:jc w:val="center"/>
              <w:rPr>
                <w:rFonts w:hint="eastAsia"/>
                <w:sz w:val="22"/>
                <w:szCs w:val="22"/>
                <w:vertAlign w:val="baseline"/>
                <w:lang w:eastAsia="zh-CN"/>
              </w:rPr>
            </w:pPr>
          </w:p>
          <w:p w14:paraId="6D562359">
            <w:pPr>
              <w:jc w:val="center"/>
              <w:rPr>
                <w:rFonts w:hint="eastAsia"/>
                <w:sz w:val="22"/>
                <w:szCs w:val="22"/>
                <w:vertAlign w:val="baseline"/>
                <w:lang w:eastAsia="zh-CN"/>
              </w:rPr>
            </w:pPr>
            <w:r>
              <w:rPr>
                <w:rFonts w:hint="eastAsia"/>
                <w:sz w:val="22"/>
                <w:szCs w:val="22"/>
                <w:vertAlign w:val="baseline"/>
                <w:lang w:eastAsia="zh-CN"/>
              </w:rPr>
              <w:t>202</w:t>
            </w:r>
            <w:r>
              <w:rPr>
                <w:rFonts w:hint="eastAsia"/>
                <w:sz w:val="22"/>
                <w:szCs w:val="22"/>
                <w:vertAlign w:val="baseline"/>
                <w:lang w:val="en-US" w:eastAsia="zh-CN"/>
              </w:rPr>
              <w:t>4</w:t>
            </w:r>
            <w:r>
              <w:rPr>
                <w:rFonts w:hint="eastAsia"/>
                <w:sz w:val="22"/>
                <w:szCs w:val="22"/>
                <w:vertAlign w:val="baseline"/>
                <w:lang w:eastAsia="zh-CN"/>
              </w:rPr>
              <w:t>年会计信息质量检查</w:t>
            </w:r>
          </w:p>
          <w:p w14:paraId="140FF2B0">
            <w:pPr>
              <w:jc w:val="center"/>
              <w:rPr>
                <w:rFonts w:hint="eastAsia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839" w:type="pct"/>
            <w:vAlign w:val="bottom"/>
          </w:tcPr>
          <w:p w14:paraId="20D7D80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额尔古纳市农牧局综合保障中心</w:t>
            </w:r>
          </w:p>
        </w:tc>
        <w:tc>
          <w:tcPr>
            <w:tcW w:w="813" w:type="pct"/>
            <w:vAlign w:val="center"/>
          </w:tcPr>
          <w:p w14:paraId="1358099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12152106E3439076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kern w:val="2"/>
                <w:sz w:val="20"/>
                <w:szCs w:val="20"/>
                <w:u w:val="none"/>
                <w:lang w:val="en-US" w:eastAsia="zh-CN" w:bidi="ar-SA"/>
              </w:rPr>
              <w:t>6</w:t>
            </w:r>
          </w:p>
        </w:tc>
        <w:tc>
          <w:tcPr>
            <w:tcW w:w="308" w:type="pct"/>
            <w:vMerge w:val="restart"/>
          </w:tcPr>
          <w:p w14:paraId="5E758638">
            <w:pPr>
              <w:jc w:val="center"/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shd w:val="clear" w:fill="FFFFFF"/>
              </w:rPr>
            </w:pPr>
          </w:p>
          <w:p w14:paraId="2F318CA3">
            <w:pPr>
              <w:jc w:val="center"/>
              <w:rPr>
                <w:rFonts w:hint="eastAsia"/>
                <w:sz w:val="22"/>
                <w:szCs w:val="22"/>
                <w:vertAlign w:val="baseline"/>
                <w:lang w:eastAsia="zh-CN"/>
              </w:rPr>
            </w:pPr>
            <w:r>
              <w:rPr>
                <w:rFonts w:hint="eastAsia"/>
                <w:sz w:val="22"/>
                <w:szCs w:val="22"/>
                <w:vertAlign w:val="baseline"/>
                <w:lang w:eastAsia="zh-CN"/>
              </w:rPr>
              <w:t>202</w:t>
            </w:r>
            <w:r>
              <w:rPr>
                <w:rFonts w:hint="eastAsia"/>
                <w:sz w:val="22"/>
                <w:szCs w:val="22"/>
                <w:vertAlign w:val="baseline"/>
                <w:lang w:val="en-US" w:eastAsia="zh-CN"/>
              </w:rPr>
              <w:t>4</w:t>
            </w:r>
            <w:r>
              <w:rPr>
                <w:rFonts w:hint="eastAsia"/>
                <w:sz w:val="22"/>
                <w:szCs w:val="22"/>
                <w:vertAlign w:val="baseline"/>
                <w:lang w:eastAsia="zh-CN"/>
              </w:rPr>
              <w:t>年会计信息质量检查</w:t>
            </w:r>
          </w:p>
          <w:p w14:paraId="0946E810">
            <w:pPr>
              <w:jc w:val="left"/>
              <w:rPr>
                <w:rFonts w:hint="eastAsia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774" w:type="pct"/>
            <w:vMerge w:val="restart"/>
          </w:tcPr>
          <w:p w14:paraId="4A46FE17">
            <w:pPr>
              <w:jc w:val="center"/>
              <w:rPr>
                <w:rFonts w:hint="eastAsia"/>
                <w:sz w:val="22"/>
                <w:szCs w:val="22"/>
                <w:vertAlign w:val="baseline"/>
                <w:lang w:eastAsia="zh-CN"/>
              </w:rPr>
            </w:pPr>
          </w:p>
          <w:p w14:paraId="19FD6790">
            <w:pPr>
              <w:numPr>
                <w:ilvl w:val="0"/>
                <w:numId w:val="0"/>
              </w:numPr>
              <w:jc w:val="both"/>
              <w:rPr>
                <w:rFonts w:hint="eastAsia"/>
                <w:sz w:val="22"/>
                <w:szCs w:val="22"/>
                <w:vertAlign w:val="baseline"/>
                <w:lang w:eastAsia="zh-CN"/>
              </w:rPr>
            </w:pPr>
            <w:r>
              <w:rPr>
                <w:rFonts w:hint="default"/>
                <w:sz w:val="20"/>
                <w:szCs w:val="20"/>
                <w:vertAlign w:val="baseline"/>
                <w:lang w:val="en-US" w:eastAsia="zh-CN"/>
              </w:rPr>
              <w:t>针对3家行政事业单位和1家国有企业执行的会计制度、单位性质、职能、行业特征等方面的差异，确定不同的检查内容，要求单位提供相关资料，从被检查单位的基本情况、会计核算、会计基础工作、单位内部控制及财务管理方面、资产管理方面、资产负债情况、财务收支情况等各个方面充分了解被检查单位，检查财务管理、会计核算、财政资金使用等。</w:t>
            </w:r>
          </w:p>
        </w:tc>
        <w:tc>
          <w:tcPr>
            <w:tcW w:w="313" w:type="pct"/>
            <w:vMerge w:val="restart"/>
          </w:tcPr>
          <w:p w14:paraId="558C0FF5">
            <w:pPr>
              <w:jc w:val="center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  <w:p w14:paraId="2908F7B8">
            <w:pPr>
              <w:jc w:val="center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  <w:p w14:paraId="146FA74B">
            <w:pPr>
              <w:jc w:val="center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  <w:p w14:paraId="2C859CBE">
            <w:pPr>
              <w:jc w:val="center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  <w:p w14:paraId="02D76876">
            <w:pPr>
              <w:jc w:val="left"/>
              <w:rPr>
                <w:rFonts w:hint="eastAsia"/>
                <w:sz w:val="20"/>
                <w:szCs w:val="20"/>
                <w:vertAlign w:val="baseline"/>
                <w:lang w:eastAsia="zh-CN"/>
              </w:rPr>
            </w:pPr>
            <w:r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  <w:t>1.</w:t>
            </w:r>
            <w:r>
              <w:rPr>
                <w:rFonts w:hint="eastAsia"/>
                <w:sz w:val="20"/>
                <w:szCs w:val="20"/>
                <w:vertAlign w:val="baseline"/>
                <w:lang w:eastAsia="zh-CN"/>
              </w:rPr>
              <w:t>《中华人民共和国会计法》</w:t>
            </w:r>
          </w:p>
          <w:p w14:paraId="4049C060">
            <w:pPr>
              <w:jc w:val="left"/>
              <w:rPr>
                <w:rFonts w:hint="eastAsia" w:eastAsia="微软雅黑"/>
                <w:sz w:val="44"/>
                <w:szCs w:val="44"/>
                <w:vertAlign w:val="baseline"/>
                <w:lang w:eastAsia="zh-CN"/>
              </w:rPr>
            </w:pPr>
          </w:p>
        </w:tc>
        <w:tc>
          <w:tcPr>
            <w:tcW w:w="619" w:type="pct"/>
          </w:tcPr>
          <w:p w14:paraId="3957F02C">
            <w:pPr>
              <w:jc w:val="both"/>
              <w:rPr>
                <w:rFonts w:hint="eastAsia"/>
                <w:sz w:val="18"/>
                <w:szCs w:val="18"/>
                <w:vertAlign w:val="baseline"/>
                <w:lang w:eastAsia="zh-CN"/>
              </w:rPr>
            </w:pPr>
          </w:p>
          <w:p w14:paraId="19280BCD">
            <w:pPr>
              <w:jc w:val="both"/>
              <w:rPr>
                <w:rFonts w:hint="eastAsia"/>
                <w:sz w:val="18"/>
                <w:szCs w:val="18"/>
                <w:vertAlign w:val="baseline"/>
                <w:lang w:eastAsia="zh-CN"/>
              </w:rPr>
            </w:pPr>
          </w:p>
          <w:p w14:paraId="6FAA6B5D">
            <w:pPr>
              <w:jc w:val="both"/>
              <w:rPr>
                <w:rFonts w:hint="eastAsia"/>
                <w:sz w:val="18"/>
                <w:szCs w:val="18"/>
                <w:vertAlign w:val="baseline"/>
                <w:lang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收款收据数字大小写不符，项目支付凭证未附项目验收单。</w:t>
            </w:r>
          </w:p>
        </w:tc>
      </w:tr>
      <w:tr w14:paraId="6A2DEB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835" w:type="pct"/>
            <w:vAlign w:val="center"/>
          </w:tcPr>
          <w:p w14:paraId="45A44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2</w:t>
            </w:r>
          </w:p>
        </w:tc>
        <w:tc>
          <w:tcPr>
            <w:tcW w:w="495" w:type="pct"/>
            <w:vMerge w:val="continue"/>
          </w:tcPr>
          <w:p w14:paraId="37255974">
            <w:pPr>
              <w:jc w:val="center"/>
              <w:rPr>
                <w:rFonts w:hint="eastAsia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839" w:type="pct"/>
            <w:vAlign w:val="bottom"/>
          </w:tcPr>
          <w:p w14:paraId="7C94E46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额尔古纳市福利院</w:t>
            </w:r>
          </w:p>
        </w:tc>
        <w:tc>
          <w:tcPr>
            <w:tcW w:w="813" w:type="pct"/>
            <w:vAlign w:val="center"/>
          </w:tcPr>
          <w:p w14:paraId="1A8E57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E3439151-5</w:t>
            </w:r>
          </w:p>
        </w:tc>
        <w:tc>
          <w:tcPr>
            <w:tcW w:w="308" w:type="pct"/>
            <w:vMerge w:val="continue"/>
          </w:tcPr>
          <w:p w14:paraId="4DF7DBE2">
            <w:pPr>
              <w:jc w:val="left"/>
              <w:rPr>
                <w:rFonts w:hint="eastAsia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774" w:type="pct"/>
            <w:vMerge w:val="continue"/>
          </w:tcPr>
          <w:p w14:paraId="0F9A8D13">
            <w:pPr>
              <w:jc w:val="center"/>
              <w:rPr>
                <w:rFonts w:hint="eastAsia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313" w:type="pct"/>
            <w:vMerge w:val="continue"/>
          </w:tcPr>
          <w:p w14:paraId="51B75652">
            <w:pPr>
              <w:jc w:val="left"/>
              <w:rPr>
                <w:rFonts w:hint="eastAsia" w:eastAsia="微软雅黑"/>
                <w:sz w:val="44"/>
                <w:szCs w:val="44"/>
                <w:vertAlign w:val="baseline"/>
                <w:lang w:eastAsia="zh-CN"/>
              </w:rPr>
            </w:pPr>
          </w:p>
        </w:tc>
        <w:tc>
          <w:tcPr>
            <w:tcW w:w="619" w:type="pct"/>
          </w:tcPr>
          <w:p w14:paraId="52EE2745">
            <w:pPr>
              <w:jc w:val="both"/>
              <w:rPr>
                <w:rFonts w:hint="eastAsia"/>
                <w:sz w:val="18"/>
                <w:szCs w:val="18"/>
                <w:vertAlign w:val="baseline"/>
                <w:lang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eastAsia="zh-CN"/>
              </w:rPr>
              <w:t>会计凭证记账凭证制单和审核人为同一人</w:t>
            </w:r>
          </w:p>
        </w:tc>
      </w:tr>
      <w:tr w14:paraId="1805A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5" w:type="pct"/>
          </w:tcPr>
          <w:p w14:paraId="5F2D2180">
            <w:pPr>
              <w:jc w:val="center"/>
              <w:rPr>
                <w:rFonts w:hint="default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vertAlign w:val="baseline"/>
                <w:lang w:val="en-US" w:eastAsia="zh-CN"/>
              </w:rPr>
              <w:t>3</w:t>
            </w:r>
          </w:p>
        </w:tc>
        <w:tc>
          <w:tcPr>
            <w:tcW w:w="495" w:type="pct"/>
            <w:vMerge w:val="continue"/>
          </w:tcPr>
          <w:p w14:paraId="19D704DB">
            <w:pPr>
              <w:jc w:val="center"/>
              <w:rPr>
                <w:rFonts w:hint="eastAsia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839" w:type="pct"/>
            <w:vAlign w:val="bottom"/>
          </w:tcPr>
          <w:p w14:paraId="2CBB342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额尔古纳市中小企业融资担保有限责任公司</w:t>
            </w:r>
          </w:p>
        </w:tc>
        <w:tc>
          <w:tcPr>
            <w:tcW w:w="813" w:type="pct"/>
            <w:vAlign w:val="center"/>
          </w:tcPr>
          <w:p w14:paraId="02DD63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9115078469594105XT</w:t>
            </w:r>
          </w:p>
        </w:tc>
        <w:tc>
          <w:tcPr>
            <w:tcW w:w="308" w:type="pct"/>
            <w:vMerge w:val="continue"/>
          </w:tcPr>
          <w:p w14:paraId="4FD89911">
            <w:pPr>
              <w:jc w:val="center"/>
              <w:rPr>
                <w:rFonts w:hint="eastAsia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774" w:type="pct"/>
            <w:vMerge w:val="continue"/>
          </w:tcPr>
          <w:p w14:paraId="3D4CB07C">
            <w:pPr>
              <w:jc w:val="center"/>
              <w:rPr>
                <w:rFonts w:hint="eastAsia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313" w:type="pct"/>
            <w:vMerge w:val="continue"/>
          </w:tcPr>
          <w:p w14:paraId="2E6C18BF">
            <w:pPr>
              <w:jc w:val="center"/>
              <w:rPr>
                <w:rFonts w:hint="eastAsia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619" w:type="pct"/>
            <w:vAlign w:val="top"/>
          </w:tcPr>
          <w:p w14:paraId="00869B44">
            <w:pPr>
              <w:jc w:val="both"/>
              <w:rPr>
                <w:rFonts w:hint="eastAsia"/>
                <w:sz w:val="18"/>
                <w:szCs w:val="18"/>
                <w:vertAlign w:val="baseline"/>
                <w:lang w:eastAsia="zh-CN"/>
              </w:rPr>
            </w:pPr>
          </w:p>
          <w:p w14:paraId="27D3DA34">
            <w:pPr>
              <w:jc w:val="both"/>
              <w:rPr>
                <w:rFonts w:hint="eastAsia"/>
                <w:sz w:val="18"/>
                <w:szCs w:val="18"/>
                <w:vertAlign w:val="baseline"/>
                <w:lang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eastAsia="zh-CN"/>
              </w:rPr>
              <w:t>核算不规范，造成资产不实；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落实降费政策不到位。</w:t>
            </w:r>
          </w:p>
        </w:tc>
      </w:tr>
      <w:tr w14:paraId="12E349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0" w:hRule="atLeast"/>
        </w:trPr>
        <w:tc>
          <w:tcPr>
            <w:tcW w:w="835" w:type="pct"/>
          </w:tcPr>
          <w:p w14:paraId="40A72CAA">
            <w:pPr>
              <w:jc w:val="center"/>
              <w:rPr>
                <w:rFonts w:hint="default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vertAlign w:val="baseline"/>
                <w:lang w:val="en-US" w:eastAsia="zh-CN"/>
              </w:rPr>
              <w:t>4</w:t>
            </w:r>
          </w:p>
        </w:tc>
        <w:tc>
          <w:tcPr>
            <w:tcW w:w="495" w:type="pct"/>
            <w:vMerge w:val="continue"/>
          </w:tcPr>
          <w:p w14:paraId="3773945E">
            <w:pPr>
              <w:jc w:val="center"/>
              <w:rPr>
                <w:rFonts w:hint="eastAsia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839" w:type="pct"/>
            <w:vAlign w:val="bottom"/>
          </w:tcPr>
          <w:p w14:paraId="1DD89F1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额尔古纳市第三小学</w:t>
            </w:r>
          </w:p>
        </w:tc>
        <w:tc>
          <w:tcPr>
            <w:tcW w:w="813" w:type="pct"/>
            <w:vAlign w:val="center"/>
          </w:tcPr>
          <w:p w14:paraId="072ED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12152106E34390416E</w:t>
            </w:r>
          </w:p>
        </w:tc>
        <w:tc>
          <w:tcPr>
            <w:tcW w:w="308" w:type="pct"/>
            <w:vMerge w:val="continue"/>
          </w:tcPr>
          <w:p w14:paraId="2CB8ABE6">
            <w:pPr>
              <w:jc w:val="center"/>
              <w:rPr>
                <w:rFonts w:hint="eastAsia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774" w:type="pct"/>
            <w:vMerge w:val="continue"/>
          </w:tcPr>
          <w:p w14:paraId="15594D56">
            <w:pPr>
              <w:jc w:val="center"/>
              <w:rPr>
                <w:rFonts w:hint="eastAsia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313" w:type="pct"/>
            <w:vMerge w:val="continue"/>
          </w:tcPr>
          <w:p w14:paraId="6D225DDE">
            <w:pPr>
              <w:jc w:val="center"/>
              <w:rPr>
                <w:rFonts w:hint="eastAsia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619" w:type="pct"/>
            <w:vAlign w:val="top"/>
          </w:tcPr>
          <w:p w14:paraId="023D376F">
            <w:pPr>
              <w:jc w:val="both"/>
              <w:rPr>
                <w:rFonts w:hint="eastAsia"/>
                <w:sz w:val="18"/>
                <w:szCs w:val="18"/>
                <w:vertAlign w:val="baseline"/>
                <w:lang w:eastAsia="zh-CN"/>
              </w:rPr>
            </w:pPr>
          </w:p>
          <w:p w14:paraId="0B426172">
            <w:pPr>
              <w:jc w:val="both"/>
              <w:rPr>
                <w:rFonts w:hint="eastAsia"/>
                <w:sz w:val="18"/>
                <w:szCs w:val="18"/>
                <w:vertAlign w:val="baseline"/>
                <w:lang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eastAsia="zh-CN"/>
              </w:rPr>
              <w:t>会计凭证、总账、明细账未打印装订成册</w:t>
            </w:r>
          </w:p>
        </w:tc>
      </w:tr>
    </w:tbl>
    <w:p w14:paraId="568AF1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both"/>
        <w:textAlignment w:val="auto"/>
        <w:rPr>
          <w:rFonts w:hint="eastAsia"/>
          <w:sz w:val="22"/>
          <w:szCs w:val="22"/>
          <w:lang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RhYTRlYzBmMmNiMzMzMWM0ODEyM2RhYjgwYTU0OGMifQ=="/>
  </w:docVars>
  <w:rsids>
    <w:rsidRoot w:val="39414B2F"/>
    <w:rsid w:val="055661F0"/>
    <w:rsid w:val="072458D2"/>
    <w:rsid w:val="0C517711"/>
    <w:rsid w:val="11DD55A3"/>
    <w:rsid w:val="13F848EF"/>
    <w:rsid w:val="1E83706B"/>
    <w:rsid w:val="1F953961"/>
    <w:rsid w:val="23A67EEB"/>
    <w:rsid w:val="26D27249"/>
    <w:rsid w:val="295B52D4"/>
    <w:rsid w:val="2B577D1D"/>
    <w:rsid w:val="373C4996"/>
    <w:rsid w:val="374B5E63"/>
    <w:rsid w:val="39414B2F"/>
    <w:rsid w:val="3AF4587D"/>
    <w:rsid w:val="3DF064DB"/>
    <w:rsid w:val="424B0183"/>
    <w:rsid w:val="43C83506"/>
    <w:rsid w:val="45140D01"/>
    <w:rsid w:val="462A6302"/>
    <w:rsid w:val="47392CA0"/>
    <w:rsid w:val="4A0333C5"/>
    <w:rsid w:val="4BAD17D4"/>
    <w:rsid w:val="4BD24CA3"/>
    <w:rsid w:val="528079D5"/>
    <w:rsid w:val="59B77A55"/>
    <w:rsid w:val="5E652175"/>
    <w:rsid w:val="5FB46F10"/>
    <w:rsid w:val="5FD97478"/>
    <w:rsid w:val="61CA2A1B"/>
    <w:rsid w:val="666845B1"/>
    <w:rsid w:val="68C83A2C"/>
    <w:rsid w:val="68EA39A3"/>
    <w:rsid w:val="68F35F7C"/>
    <w:rsid w:val="6BF10F6B"/>
    <w:rsid w:val="76B37ACA"/>
    <w:rsid w:val="76DF08BF"/>
    <w:rsid w:val="7901142C"/>
    <w:rsid w:val="79817E0C"/>
    <w:rsid w:val="7C3C5E6C"/>
    <w:rsid w:val="7D853D9C"/>
    <w:rsid w:val="7E92446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407</Words>
  <Characters>476</Characters>
  <Lines>0</Lines>
  <Paragraphs>0</Paragraphs>
  <TotalTime>6</TotalTime>
  <ScaleCrop>false</ScaleCrop>
  <LinksUpToDate>false</LinksUpToDate>
  <CharactersWithSpaces>476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2023-08-21T07:47:00Z</dcterms:created>
  <dc:creator>会计监督办</dc:creator>
  <cp:lastModifiedBy>院里小秋千</cp:lastModifiedBy>
  <cp:lastPrinted>2023-10-19T03:22:00Z</cp:lastPrinted>
  <dcterms:modified xsi:type="dcterms:W3CDTF">2024-12-10T06:46:41Z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BB6D855A80CD4C2BB1E97277D6B24C38</vt:lpwstr>
  </property>
</Properties>
</file>