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C1902">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楷体_GB2312" w:hAnsi="楷体_GB2312" w:eastAsia="楷体_GB2312" w:cs="楷体_GB2312"/>
          <w:bCs/>
          <w:sz w:val="32"/>
          <w:szCs w:val="32"/>
          <w:lang w:val="en-US" w:eastAsia="zh-CN"/>
        </w:rPr>
      </w:pPr>
      <w:bookmarkStart w:id="46" w:name="_GoBack"/>
      <w:bookmarkEnd w:id="46"/>
    </w:p>
    <w:p w14:paraId="2DF8C89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lang w:val="en-US" w:eastAsia="zh-CN"/>
        </w:rPr>
        <w:t>汛情转移民众</w:t>
      </w:r>
    </w:p>
    <w:p w14:paraId="07B075E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应急预案</w:t>
      </w:r>
    </w:p>
    <w:p w14:paraId="3C853571">
      <w:pPr>
        <w:pStyle w:val="2"/>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rPr>
      </w:pPr>
    </w:p>
    <w:p w14:paraId="6AF770D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目  录</w:t>
      </w:r>
    </w:p>
    <w:p w14:paraId="760E29E9">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_Toc11873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_Toc11873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709E01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_Toc23301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_Toc23301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F7F730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_Toc9470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_Toc9470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E13B68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_Toc7063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_Toc7063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9D97C0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_Toc11691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_Toc11691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C68EA80">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_Toc31623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2</w:t>
      </w:r>
      <w:r>
        <w:rPr>
          <w:rFonts w:hint="eastAsia" w:ascii="黑体" w:hAnsi="黑体" w:eastAsia="黑体" w:cs="黑体"/>
          <w:b w:val="0"/>
          <w:bCs/>
          <w:sz w:val="32"/>
          <w:szCs w:val="32"/>
          <w:lang w:bidi="ar-SA"/>
        </w:rPr>
        <w:t>基本情况</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_Toc31623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A5D41F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_Toc5278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2.1辖区内人口概况</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_Toc5278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EB56F4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_Toc21638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zh-CN"/>
        </w:rPr>
        <w:t>2.</w:t>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lang w:val="zh-CN"/>
        </w:rPr>
        <w:t>自然概况</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_Toc21638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B07D4B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_Toc31156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rPr>
        <w:t>2.</w:t>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rPr>
        <w:t>水</w:t>
      </w:r>
      <w:r>
        <w:rPr>
          <w:rFonts w:hint="eastAsia" w:ascii="楷体_GB2312" w:hAnsi="楷体_GB2312" w:eastAsia="楷体_GB2312" w:cs="楷体_GB2312"/>
          <w:sz w:val="32"/>
          <w:szCs w:val="32"/>
          <w:lang w:eastAsia="zh-CN"/>
        </w:rPr>
        <w:t>灾害</w:t>
      </w:r>
      <w:r>
        <w:rPr>
          <w:rFonts w:hint="eastAsia" w:ascii="楷体_GB2312" w:hAnsi="楷体_GB2312" w:eastAsia="楷体_GB2312" w:cs="楷体_GB2312"/>
          <w:sz w:val="32"/>
          <w:szCs w:val="32"/>
        </w:rPr>
        <w:t>防御现状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_Toc31156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50249C4">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_Toc2095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3组织机构及职责分工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_Toc2095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5E7B2B9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_Toc7322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_Toc7322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8404D6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_Toc12781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rPr>
        <w:t>.2指挥机构及职责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_Toc12781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3B2236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_Toc938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w:t>
      </w:r>
      <w:r>
        <w:rPr>
          <w:rFonts w:hint="eastAsia" w:ascii="楷体_GB2312" w:hAnsi="楷体_GB2312" w:eastAsia="楷体_GB2312" w:cs="楷体_GB2312"/>
          <w:sz w:val="32"/>
          <w:szCs w:val="32"/>
        </w:rPr>
        <w:t>.3指挥部办公室职责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_Toc938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A232E1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_Toc32004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3.4</w:t>
      </w:r>
      <w:r>
        <w:rPr>
          <w:rFonts w:hint="eastAsia" w:ascii="楷体_GB2312" w:hAnsi="楷体_GB2312" w:eastAsia="楷体_GB2312" w:cs="楷体_GB2312"/>
          <w:sz w:val="32"/>
          <w:szCs w:val="32"/>
        </w:rPr>
        <w:t>市</w:t>
      </w:r>
      <w:r>
        <w:rPr>
          <w:rFonts w:hint="eastAsia" w:ascii="楷体_GB2312" w:hAnsi="楷体_GB2312" w:eastAsia="楷体_GB2312" w:cs="楷体_GB2312"/>
          <w:sz w:val="32"/>
          <w:szCs w:val="32"/>
          <w:lang w:val="en-US" w:eastAsia="zh-CN"/>
        </w:rPr>
        <w:t>减灾</w:t>
      </w:r>
      <w:r>
        <w:rPr>
          <w:rFonts w:hint="eastAsia" w:ascii="楷体_GB2312" w:hAnsi="楷体_GB2312" w:eastAsia="楷体_GB2312" w:cs="楷体_GB2312"/>
          <w:sz w:val="32"/>
          <w:szCs w:val="32"/>
        </w:rPr>
        <w:t>指挥部专项工作组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_Toc32004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7D0DE31">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_Toc6710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4危险区、安全区划分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_Toc6710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BA92FDB">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_Toc26642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4.1危险区域</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_Toc26642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FEE0C2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4.2安置区域</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B10DF91">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_Toc18829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5预防与预警</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_Toc18829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- 32 -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04C7AF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_Toc31011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5.1预警分级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_Toc31011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81B95D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_Toc17650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预防预警信息</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_Toc17650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55957C5">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_Toc12608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6应急响应</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_Toc12608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92F874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_Toc7888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6.1应急响应的总体要求</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_Toc7888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AF25AB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_Toc6562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6.2应急响应启动条件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_Toc6562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9177C85">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_Toc3542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7</w:t>
      </w:r>
      <w:r>
        <w:rPr>
          <w:rFonts w:hint="eastAsia" w:ascii="黑体" w:hAnsi="黑体" w:eastAsia="黑体" w:cs="黑体"/>
          <w:b w:val="0"/>
          <w:bCs/>
          <w:sz w:val="32"/>
          <w:szCs w:val="32"/>
        </w:rPr>
        <w:t>转移安置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_Toc3542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- 42 -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5133CF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_Toc13741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w:t>
      </w:r>
      <w:r>
        <w:rPr>
          <w:rFonts w:hint="eastAsia" w:ascii="楷体_GB2312" w:hAnsi="楷体_GB2312" w:eastAsia="楷体_GB2312" w:cs="楷体_GB2312"/>
          <w:sz w:val="32"/>
          <w:szCs w:val="32"/>
          <w:lang w:val="zh-CN"/>
        </w:rPr>
        <w:t>转移安置原则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_Toc13741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655F8E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_Toc22913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7.2</w:t>
      </w:r>
      <w:r>
        <w:rPr>
          <w:rFonts w:hint="eastAsia" w:ascii="楷体_GB2312" w:hAnsi="楷体_GB2312" w:eastAsia="楷体_GB2312" w:cs="楷体_GB2312"/>
          <w:sz w:val="32"/>
          <w:szCs w:val="32"/>
          <w:lang w:val="zh-CN"/>
        </w:rPr>
        <w:t>转移安置前准备</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val="en-US" w:eastAsia="zh-CN"/>
        </w:rPr>
        <w:fldChar w:fldCharType="end"/>
      </w:r>
      <w:r>
        <w:rPr>
          <w:rFonts w:hint="eastAsia" w:ascii="楷体_GB2312" w:hAnsi="楷体_GB2312" w:eastAsia="楷体_GB2312" w:cs="楷体_GB2312"/>
          <w:sz w:val="32"/>
          <w:szCs w:val="32"/>
          <w:lang w:val="en-US" w:eastAsia="zh-CN"/>
        </w:rPr>
        <w:t xml:space="preserve"> 42 -</w:t>
      </w:r>
    </w:p>
    <w:p w14:paraId="4C9A484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_Toc25069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7.3</w:t>
      </w:r>
      <w:r>
        <w:rPr>
          <w:rFonts w:hint="eastAsia" w:ascii="楷体_GB2312" w:hAnsi="楷体_GB2312" w:eastAsia="楷体_GB2312" w:cs="楷体_GB2312"/>
          <w:sz w:val="32"/>
          <w:szCs w:val="32"/>
          <w:lang w:val="zh-CN"/>
        </w:rPr>
        <w:t>转移安置路线</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_Toc25069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742877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_Toc23335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7.4</w:t>
      </w:r>
      <w:r>
        <w:rPr>
          <w:rFonts w:hint="eastAsia" w:ascii="楷体_GB2312" w:hAnsi="楷体_GB2312" w:eastAsia="楷体_GB2312" w:cs="楷体_GB2312"/>
          <w:sz w:val="32"/>
          <w:szCs w:val="32"/>
          <w:lang w:val="zh-CN"/>
        </w:rPr>
        <w:t>转移安置方式</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_Toc23335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47C0DB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_Toc11627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7.5</w:t>
      </w:r>
      <w:r>
        <w:rPr>
          <w:rFonts w:hint="eastAsia" w:ascii="楷体_GB2312" w:hAnsi="楷体_GB2312" w:eastAsia="楷体_GB2312" w:cs="楷体_GB2312"/>
          <w:sz w:val="32"/>
          <w:szCs w:val="32"/>
          <w:lang w:val="zh-CN"/>
        </w:rPr>
        <w:t>制定特殊情况应急措施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_Toc11627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0890FBA">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_Toc23667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8应急保障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_Toc23667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- 44 -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76CDAF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lang w:val="en-US"/>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_Toc32466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8.1人力保障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lang w:val="en-US" w:eastAsia="zh-CN"/>
        </w:rPr>
        <w:t>-</w:t>
      </w:r>
      <w:r>
        <w:rPr>
          <w:rFonts w:hint="eastAsia" w:ascii="楷体_GB2312" w:hAnsi="楷体_GB2312" w:eastAsia="楷体_GB2312" w:cs="楷体_GB2312"/>
          <w:sz w:val="32"/>
          <w:szCs w:val="32"/>
          <w:lang w:val="en-US" w:eastAsia="zh-CN"/>
        </w:rPr>
        <w:fldChar w:fldCharType="end"/>
      </w:r>
      <w:r>
        <w:rPr>
          <w:rFonts w:hint="eastAsia" w:ascii="楷体_GB2312" w:hAnsi="楷体_GB2312" w:eastAsia="楷体_GB2312" w:cs="楷体_GB2312"/>
          <w:sz w:val="32"/>
          <w:szCs w:val="32"/>
          <w:lang w:val="en-US" w:eastAsia="zh-CN"/>
        </w:rPr>
        <w:t>44 -</w:t>
      </w:r>
    </w:p>
    <w:p w14:paraId="63CDB90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_Toc26243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8.2资金保障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_Toc26243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2D6015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_Toc27505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8.3物资保障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_Toc27505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F08BE9C">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_Toc28498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8.4医疗保障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_Toc28498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3FBFAE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_Toc6049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8.5通信保障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_Toc6049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9826CA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_Toc32528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8.6交通运输保障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_Toc32528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79EC1E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_Toc29469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8.7治安保障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_Toc29469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58A160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_Toc30100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8.8技术保障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_Toc30100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A2FC7E1">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_Toc31048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9监督管理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_Toc31048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- 47 -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271E8B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_Toc6161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9.1预案演练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_Toc6161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4D1DF7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_Toc7289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9.2宣传培训</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_Toc7289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874AD9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_Toc4525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9.3预案实施时间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_Toc4525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- 48 -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327203D">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12DC1E4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bookmarkStart w:id="0" w:name="_Toc11873"/>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lang w:val="en-US" w:eastAsia="zh-CN"/>
        </w:rPr>
        <w:t>汛情转移民众应急预案</w:t>
      </w:r>
    </w:p>
    <w:p w14:paraId="25FE24B9">
      <w:pPr>
        <w:pStyle w:val="2"/>
        <w:rPr>
          <w:rFonts w:hint="eastAsia"/>
          <w:lang w:val="en-US" w:eastAsia="zh-CN"/>
        </w:rPr>
      </w:pPr>
    </w:p>
    <w:p w14:paraId="6D80E0A1">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p>
    <w:p w14:paraId="201261D0">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 w:name="_Toc23301"/>
      <w:r>
        <w:rPr>
          <w:rFonts w:hint="eastAsia" w:ascii="楷体_GB2312" w:hAnsi="楷体_GB2312" w:eastAsia="楷体_GB2312" w:cs="楷体_GB2312"/>
          <w:b w:val="0"/>
          <w:bCs w:val="0"/>
          <w:color w:val="000000"/>
          <w:kern w:val="2"/>
          <w:sz w:val="32"/>
          <w:szCs w:val="32"/>
          <w:lang w:val="en-US" w:eastAsia="zh-CN" w:bidi="ar-SA"/>
        </w:rPr>
        <w:t>（一）编制目的</w:t>
      </w:r>
      <w:bookmarkEnd w:id="1"/>
    </w:p>
    <w:p w14:paraId="7B672BA4">
      <w:pPr>
        <w:pStyle w:val="5"/>
        <w:keepNext w:val="0"/>
        <w:keepLines w:val="0"/>
        <w:pageBreakBefore w:val="0"/>
        <w:kinsoku/>
        <w:wordWrap/>
        <w:overflowPunct/>
        <w:topLinePunct w:val="0"/>
        <w:autoSpaceDE/>
        <w:autoSpaceDN/>
        <w:bidi w:val="0"/>
        <w:adjustRightInd/>
        <w:snapToGrid/>
        <w:spacing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以习近平新时代中国特色社会主义思想为指导，深入贯彻落实习近平总书记关于应急管理和防灾减灾救灾工作的重要论述，紧扣铸牢中华民族共同体意识工作主线，进一步提高本市洪涝灾害应急反应能力，建立健全防汛救灾体系和运行机制，确保洪涝灾害来袭或发生时受灾群众及时转移安置，最大程度地减少人民群众的生命和财产损失，维护社会稳定。</w:t>
      </w:r>
    </w:p>
    <w:p w14:paraId="4CF746D5">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9470"/>
      <w:r>
        <w:rPr>
          <w:rFonts w:hint="eastAsia" w:ascii="楷体_GB2312" w:hAnsi="楷体_GB2312" w:eastAsia="楷体_GB2312" w:cs="楷体_GB2312"/>
          <w:b w:val="0"/>
          <w:bCs w:val="0"/>
          <w:color w:val="000000"/>
          <w:kern w:val="2"/>
          <w:sz w:val="32"/>
          <w:szCs w:val="32"/>
          <w:lang w:val="en-US" w:eastAsia="zh-CN" w:bidi="ar-SA"/>
        </w:rPr>
        <w:t>（二）编制依据</w:t>
      </w:r>
      <w:bookmarkEnd w:id="2"/>
    </w:p>
    <w:p w14:paraId="620D69A4">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依据《中华人民共和国突发事件应对法》《中华人民共和国水法》《中华人民共和国防洪法》《中华人民共和国气象法》《中华人民共和国防汛条例》《自然灾害救助条例》《国家气象灾害应急预案》《内蒙古自治区气象条例》《内蒙古自治区气象灾害防御条例》《内蒙古自治区气象灾害应急预案》《内蒙古自治区自然灾害救助应急预案》《呼伦贝尔市防汛抗旱应急预案》等法律法规及相关规定，结合我市实际，制定本预案。</w:t>
      </w:r>
    </w:p>
    <w:p w14:paraId="3B7319E5">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 w:name="_Toc7063"/>
      <w:r>
        <w:rPr>
          <w:rFonts w:hint="eastAsia" w:ascii="楷体_GB2312" w:hAnsi="楷体_GB2312" w:eastAsia="楷体_GB2312" w:cs="楷体_GB2312"/>
          <w:b w:val="0"/>
          <w:bCs w:val="0"/>
          <w:color w:val="000000"/>
          <w:kern w:val="2"/>
          <w:sz w:val="32"/>
          <w:szCs w:val="32"/>
          <w:lang w:val="en-US" w:eastAsia="zh-CN" w:bidi="ar-SA"/>
        </w:rPr>
        <w:t>（三）适用范围</w:t>
      </w:r>
      <w:bookmarkEnd w:id="3"/>
    </w:p>
    <w:p w14:paraId="1D40513F">
      <w:pPr>
        <w:pStyle w:val="5"/>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额尔古纳市行政区域范围内河流和山洪、城市内涝灾害的民众应急转移工作。</w:t>
      </w:r>
    </w:p>
    <w:p w14:paraId="7611301F">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color w:val="000000"/>
          <w:kern w:val="2"/>
          <w:sz w:val="32"/>
          <w:szCs w:val="32"/>
          <w:lang w:val="en-US" w:eastAsia="zh-CN" w:bidi="ar-SA"/>
        </w:rPr>
      </w:pPr>
      <w:bookmarkStart w:id="4" w:name="_Toc11691"/>
      <w:r>
        <w:rPr>
          <w:rFonts w:hint="eastAsia" w:ascii="黑体" w:hAnsi="黑体" w:eastAsia="黑体" w:cs="黑体"/>
          <w:b w:val="0"/>
          <w:bCs w:val="0"/>
          <w:color w:val="000000"/>
          <w:kern w:val="2"/>
          <w:sz w:val="32"/>
          <w:szCs w:val="32"/>
          <w:lang w:val="en-US" w:eastAsia="zh-CN" w:bidi="ar-SA"/>
        </w:rPr>
        <w:t>（</w:t>
      </w:r>
      <w:r>
        <w:rPr>
          <w:rFonts w:hint="eastAsia" w:ascii="楷体_GB2312" w:hAnsi="楷体_GB2312" w:eastAsia="楷体_GB2312" w:cs="楷体_GB2312"/>
          <w:b w:val="0"/>
          <w:bCs w:val="0"/>
          <w:color w:val="000000"/>
          <w:kern w:val="2"/>
          <w:sz w:val="32"/>
          <w:szCs w:val="32"/>
          <w:lang w:val="en-US" w:eastAsia="zh-CN" w:bidi="ar-SA"/>
        </w:rPr>
        <w:t>四）工作原则</w:t>
      </w:r>
      <w:bookmarkEnd w:id="4"/>
    </w:p>
    <w:p w14:paraId="4C33BA3D">
      <w:pPr>
        <w:pStyle w:val="5"/>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政府主导，社会参与。坚持和发挥各级政府的主导作用，按照灾害造成的影响大小由政府的各个层级分别管理，组织和动员社会力量，充分利用各种社会资源，共同参与和支持汛情转移民众工作。</w:t>
      </w:r>
    </w:p>
    <w:p w14:paraId="30B8E433">
      <w:pPr>
        <w:pStyle w:val="5"/>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以人为本，依靠科学。将人民群众的生命财产安全放在首位，将最大限度地减少汛期造成的人员伤亡作为首要目标，科学地开展防范应对各项工作。</w:t>
      </w:r>
    </w:p>
    <w:p w14:paraId="20011351">
      <w:pPr>
        <w:pStyle w:val="5"/>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预防为主，突出重点。及时发布预警信息，坚持把预防汛情的各项措施落实到位。从战略高度统筹规划和协调防范应对工作，着眼于全面提高综合防灾减灾能力，重点解决突出问题。</w:t>
      </w:r>
    </w:p>
    <w:p w14:paraId="31E532FD">
      <w:pPr>
        <w:pStyle w:val="5"/>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分级管理，属地为主。根据汛情造成或可能造成的危害程度，实行分级管理。灾害发生地人民政府负责本行政区域内的应急处置工作。</w:t>
      </w:r>
    </w:p>
    <w:p w14:paraId="39A1BA9A">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default" w:ascii="黑体" w:hAnsi="黑体" w:eastAsia="黑体" w:cs="黑体"/>
          <w:b w:val="0"/>
          <w:bCs w:val="0"/>
          <w:sz w:val="32"/>
          <w:szCs w:val="32"/>
          <w:lang w:val="en-US" w:eastAsia="zh-CN"/>
        </w:rPr>
      </w:pPr>
      <w:bookmarkStart w:id="5" w:name="_Toc357843660"/>
      <w:bookmarkStart w:id="6" w:name="_Toc28382"/>
      <w:bookmarkStart w:id="7" w:name="_Toc31623"/>
      <w:r>
        <w:rPr>
          <w:rFonts w:hint="eastAsia" w:ascii="黑体" w:hAnsi="黑体" w:eastAsia="黑体" w:cs="黑体"/>
          <w:b w:val="0"/>
          <w:bCs w:val="0"/>
          <w:sz w:val="32"/>
          <w:szCs w:val="32"/>
          <w:lang w:val="en-US" w:eastAsia="zh-CN"/>
        </w:rPr>
        <w:t>二、</w:t>
      </w:r>
      <w:r>
        <w:rPr>
          <w:rFonts w:hint="default" w:ascii="黑体" w:hAnsi="黑体" w:eastAsia="黑体" w:cs="黑体"/>
          <w:b w:val="0"/>
          <w:bCs w:val="0"/>
          <w:sz w:val="32"/>
          <w:szCs w:val="32"/>
          <w:lang w:val="en-US" w:eastAsia="zh-CN"/>
        </w:rPr>
        <w:t>基本情况</w:t>
      </w:r>
      <w:bookmarkEnd w:id="5"/>
      <w:bookmarkEnd w:id="6"/>
      <w:bookmarkEnd w:id="7"/>
    </w:p>
    <w:p w14:paraId="20EBB1C7">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 w:name="_Toc5278"/>
      <w:bookmarkStart w:id="9" w:name="_Toc357843661"/>
      <w:r>
        <w:rPr>
          <w:rFonts w:hint="eastAsia" w:ascii="楷体_GB2312" w:hAnsi="楷体_GB2312" w:eastAsia="楷体_GB2312" w:cs="楷体_GB2312"/>
          <w:b w:val="0"/>
          <w:bCs w:val="0"/>
          <w:color w:val="000000"/>
          <w:kern w:val="2"/>
          <w:sz w:val="32"/>
          <w:szCs w:val="32"/>
          <w:lang w:val="en-US" w:eastAsia="zh-CN" w:bidi="ar-SA"/>
        </w:rPr>
        <w:t>（一）辖区内人口概况</w:t>
      </w:r>
      <w:bookmarkEnd w:id="8"/>
    </w:p>
    <w:p w14:paraId="3284290E">
      <w:pPr>
        <w:pStyle w:val="5"/>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zh-CN" w:eastAsia="zh-CN" w:bidi="ar-SA"/>
        </w:rPr>
      </w:pPr>
      <w:r>
        <w:rPr>
          <w:rFonts w:hint="eastAsia" w:ascii="仿宋_GB2312" w:hAnsi="仿宋_GB2312" w:eastAsia="仿宋_GB2312" w:cs="仿宋_GB2312"/>
          <w:b w:val="0"/>
          <w:bCs w:val="0"/>
          <w:color w:val="000000"/>
          <w:kern w:val="0"/>
          <w:sz w:val="32"/>
          <w:szCs w:val="32"/>
          <w:lang w:val="zh-CN" w:eastAsia="zh-CN" w:bidi="ar-SA"/>
        </w:rPr>
        <w:t>额尔古纳市因额尔古纳河而得名，蒙古语为“捧呈、敬献”之意，素有“呼伦贝尔缩影”的美誉，是呼伦贝尔的城市名片。总人口8.1万，总面积2.89万平方公里，占呼伦贝尔土地总面积的11.4%，位列各旗市区第二，是我国纬度最高的县级市。辖1个苏木、3个乡、3个镇、2个街道办事处、1个管委会。西北部隔额尔古纳河与俄罗斯相望，边境线长673.11公里，约占全自治区中俄边境线的64.4%，有黑山头、室韦两个国家一类口岸。多民族聚居。21个民族和谐共处，是蒙古族的发祥地。全市有俄罗斯族及华俄后裔7847人，有全国唯一的俄罗斯族民族乡—恩和俄罗斯族民族乡和自治区唯一的回族乡—三河回族乡。</w:t>
      </w:r>
    </w:p>
    <w:p w14:paraId="646427A3">
      <w:pPr>
        <w:pStyle w:val="2"/>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bookmarkStart w:id="10" w:name="_Toc21638"/>
      <w:r>
        <w:rPr>
          <w:rFonts w:hint="eastAsia" w:ascii="楷体_GB2312" w:hAnsi="楷体_GB2312" w:eastAsia="楷体_GB2312" w:cs="楷体_GB2312"/>
          <w:b w:val="0"/>
          <w:bCs w:val="0"/>
          <w:color w:val="000000"/>
          <w:kern w:val="2"/>
          <w:sz w:val="32"/>
          <w:szCs w:val="32"/>
          <w:lang w:val="zh-CN" w:eastAsia="zh-CN" w:bidi="ar-SA"/>
        </w:rPr>
        <w:t>（</w:t>
      </w:r>
      <w:r>
        <w:rPr>
          <w:rFonts w:hint="eastAsia" w:ascii="楷体_GB2312" w:hAnsi="楷体_GB2312" w:eastAsia="楷体_GB2312" w:cs="楷体_GB2312"/>
          <w:b w:val="0"/>
          <w:bCs w:val="0"/>
          <w:color w:val="000000"/>
          <w:kern w:val="2"/>
          <w:sz w:val="32"/>
          <w:szCs w:val="32"/>
          <w:lang w:val="en-US" w:eastAsia="zh-CN" w:bidi="ar-SA"/>
        </w:rPr>
        <w:t>二</w:t>
      </w:r>
      <w:r>
        <w:rPr>
          <w:rFonts w:hint="eastAsia" w:ascii="楷体_GB2312" w:hAnsi="楷体_GB2312" w:eastAsia="楷体_GB2312" w:cs="楷体_GB2312"/>
          <w:b w:val="0"/>
          <w:bCs w:val="0"/>
          <w:color w:val="000000"/>
          <w:kern w:val="2"/>
          <w:sz w:val="32"/>
          <w:szCs w:val="32"/>
          <w:lang w:val="zh-CN" w:eastAsia="zh-CN" w:bidi="ar-SA"/>
        </w:rPr>
        <w:t>）自然概况</w:t>
      </w:r>
      <w:bookmarkEnd w:id="9"/>
      <w:bookmarkEnd w:id="10"/>
    </w:p>
    <w:p w14:paraId="374DD674">
      <w:pPr>
        <w:pStyle w:val="2"/>
        <w:keepNext w:val="0"/>
        <w:keepLines w:val="0"/>
        <w:pageBreakBefore w:val="0"/>
        <w:widowControl w:val="0"/>
        <w:kinsoku/>
        <w:wordWrap/>
        <w:overflowPunct/>
        <w:topLinePunct w:val="0"/>
        <w:autoSpaceDE/>
        <w:autoSpaceDN/>
        <w:bidi w:val="0"/>
        <w:adjustRightInd/>
        <w:snapToGrid/>
        <w:spacing w:line="600" w:lineRule="atLeast"/>
        <w:ind w:firstLine="0" w:firstLineChars="0"/>
        <w:jc w:val="center"/>
        <w:textAlignment w:val="auto"/>
        <w:rPr>
          <w:rFonts w:hint="eastAsia" w:ascii="仿宋_GB2312" w:hAnsi="仿宋_GB2312" w:eastAsia="仿宋_GB2312" w:cs="仿宋_GB2312"/>
          <w:b/>
          <w:bCs/>
          <w:color w:val="000000"/>
          <w:kern w:val="2"/>
          <w:sz w:val="32"/>
          <w:szCs w:val="32"/>
          <w:lang w:val="en-US" w:eastAsia="zh-CN" w:bidi="ar-SA"/>
        </w:rPr>
      </w:pPr>
      <w:r>
        <w:rPr>
          <w:rFonts w:hint="eastAsia" w:ascii="Times New Roman" w:hAnsi="Times New Roman" w:eastAsia="宋体" w:cs="Times New Roman"/>
          <w:b/>
          <w:sz w:val="28"/>
          <w:szCs w:val="28"/>
          <w:lang w:eastAsia="zh-CN"/>
        </w:rPr>
        <w:drawing>
          <wp:anchor distT="0" distB="0" distL="114300" distR="114300" simplePos="0" relativeHeight="251659264" behindDoc="0" locked="0" layoutInCell="1" allowOverlap="1">
            <wp:simplePos x="0" y="0"/>
            <wp:positionH relativeFrom="column">
              <wp:posOffset>918210</wp:posOffset>
            </wp:positionH>
            <wp:positionV relativeFrom="paragraph">
              <wp:posOffset>377825</wp:posOffset>
            </wp:positionV>
            <wp:extent cx="3831590" cy="5420995"/>
            <wp:effectExtent l="0" t="0" r="16510" b="8255"/>
            <wp:wrapNone/>
            <wp:docPr id="12" name="图片 12" descr="16f94a9184a4ebc281d11f37ed39a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f94a9184a4ebc281d11f37ed39af4"/>
                    <pic:cNvPicPr>
                      <a:picLocks noChangeAspect="1"/>
                    </pic:cNvPicPr>
                  </pic:nvPicPr>
                  <pic:blipFill>
                    <a:blip r:embed="rId6"/>
                    <a:stretch>
                      <a:fillRect/>
                    </a:stretch>
                  </pic:blipFill>
                  <pic:spPr>
                    <a:xfrm>
                      <a:off x="0" y="0"/>
                      <a:ext cx="3831590" cy="5420995"/>
                    </a:xfrm>
                    <a:prstGeom prst="rect">
                      <a:avLst/>
                    </a:prstGeom>
                  </pic:spPr>
                </pic:pic>
              </a:graphicData>
            </a:graphic>
          </wp:anchor>
        </w:drawing>
      </w:r>
      <w:r>
        <w:rPr>
          <w:rFonts w:hint="eastAsia" w:ascii="仿宋_GB2312" w:hAnsi="仿宋_GB2312" w:eastAsia="仿宋_GB2312" w:cs="仿宋_GB2312"/>
          <w:b/>
          <w:bCs/>
          <w:color w:val="000000"/>
          <w:kern w:val="2"/>
          <w:sz w:val="32"/>
          <w:szCs w:val="32"/>
          <w:lang w:val="en-US" w:eastAsia="zh-CN" w:bidi="ar-SA"/>
        </w:rPr>
        <w:t>水系分布</w:t>
      </w:r>
    </w:p>
    <w:p w14:paraId="61614E26">
      <w:pPr>
        <w:pageBreakBefore w:val="0"/>
        <w:kinsoku/>
        <w:wordWrap/>
        <w:autoSpaceDE/>
        <w:autoSpaceDN/>
        <w:bidi w:val="0"/>
        <w:adjustRightInd/>
        <w:snapToGrid/>
        <w:spacing w:line="600" w:lineRule="atLeast"/>
        <w:rPr>
          <w:rFonts w:hint="eastAsia" w:ascii="Times New Roman" w:hAnsi="Times New Roman" w:eastAsia="宋体" w:cs="Times New Roman"/>
          <w:b/>
          <w:sz w:val="28"/>
          <w:szCs w:val="28"/>
          <w:lang w:eastAsia="zh-CN"/>
        </w:rPr>
      </w:pPr>
    </w:p>
    <w:p w14:paraId="775B93FD">
      <w:pPr>
        <w:pageBreakBefore w:val="0"/>
        <w:kinsoku/>
        <w:wordWrap/>
        <w:autoSpaceDE/>
        <w:autoSpaceDN/>
        <w:bidi w:val="0"/>
        <w:adjustRightInd/>
        <w:snapToGrid/>
        <w:spacing w:line="600" w:lineRule="atLeast"/>
        <w:rPr>
          <w:rFonts w:hint="eastAsia" w:ascii="Times New Roman" w:hAnsi="Times New Roman" w:eastAsia="宋体" w:cs="Times New Roman"/>
          <w:b/>
          <w:sz w:val="28"/>
          <w:szCs w:val="28"/>
          <w:lang w:eastAsia="zh-CN"/>
        </w:rPr>
      </w:pPr>
    </w:p>
    <w:p w14:paraId="6AE88F5E">
      <w:pPr>
        <w:pStyle w:val="2"/>
        <w:rPr>
          <w:rFonts w:hint="eastAsia" w:ascii="Times New Roman" w:hAnsi="Times New Roman" w:eastAsia="宋体" w:cs="Times New Roman"/>
          <w:b/>
          <w:sz w:val="28"/>
          <w:szCs w:val="28"/>
          <w:lang w:eastAsia="zh-CN"/>
        </w:rPr>
      </w:pPr>
    </w:p>
    <w:p w14:paraId="4C360E71">
      <w:pPr>
        <w:rPr>
          <w:rFonts w:hint="eastAsia" w:ascii="Times New Roman" w:hAnsi="Times New Roman" w:eastAsia="宋体" w:cs="Times New Roman"/>
          <w:b/>
          <w:sz w:val="28"/>
          <w:szCs w:val="28"/>
          <w:lang w:eastAsia="zh-CN"/>
        </w:rPr>
      </w:pPr>
    </w:p>
    <w:p w14:paraId="34CF5F56">
      <w:pPr>
        <w:pStyle w:val="2"/>
        <w:rPr>
          <w:rFonts w:hint="eastAsia" w:ascii="Times New Roman" w:hAnsi="Times New Roman" w:eastAsia="宋体" w:cs="Times New Roman"/>
          <w:b/>
          <w:sz w:val="28"/>
          <w:szCs w:val="28"/>
          <w:lang w:eastAsia="zh-CN"/>
        </w:rPr>
      </w:pPr>
    </w:p>
    <w:p w14:paraId="1A185B58">
      <w:pPr>
        <w:rPr>
          <w:rFonts w:hint="eastAsia" w:ascii="Times New Roman" w:hAnsi="Times New Roman" w:eastAsia="宋体" w:cs="Times New Roman"/>
          <w:b/>
          <w:sz w:val="28"/>
          <w:szCs w:val="28"/>
          <w:lang w:eastAsia="zh-CN"/>
        </w:rPr>
      </w:pPr>
    </w:p>
    <w:p w14:paraId="650FBA06">
      <w:pPr>
        <w:pStyle w:val="2"/>
        <w:rPr>
          <w:rFonts w:hint="eastAsia" w:ascii="Times New Roman" w:hAnsi="Times New Roman" w:eastAsia="宋体" w:cs="Times New Roman"/>
          <w:b/>
          <w:sz w:val="28"/>
          <w:szCs w:val="28"/>
          <w:lang w:eastAsia="zh-CN"/>
        </w:rPr>
      </w:pPr>
    </w:p>
    <w:p w14:paraId="20551823">
      <w:pPr>
        <w:rPr>
          <w:rFonts w:hint="eastAsia" w:ascii="Times New Roman" w:hAnsi="Times New Roman" w:eastAsia="宋体" w:cs="Times New Roman"/>
          <w:b/>
          <w:sz w:val="28"/>
          <w:szCs w:val="28"/>
          <w:lang w:eastAsia="zh-CN"/>
        </w:rPr>
      </w:pPr>
    </w:p>
    <w:p w14:paraId="1B16AE59">
      <w:pPr>
        <w:pStyle w:val="2"/>
        <w:rPr>
          <w:rFonts w:hint="eastAsia" w:ascii="Times New Roman" w:hAnsi="Times New Roman" w:eastAsia="宋体" w:cs="Times New Roman"/>
          <w:b/>
          <w:sz w:val="28"/>
          <w:szCs w:val="28"/>
          <w:lang w:eastAsia="zh-CN"/>
        </w:rPr>
      </w:pPr>
    </w:p>
    <w:p w14:paraId="5C75B8A8">
      <w:pPr>
        <w:rPr>
          <w:rFonts w:hint="eastAsia" w:ascii="Times New Roman" w:hAnsi="Times New Roman" w:eastAsia="宋体" w:cs="Times New Roman"/>
          <w:b/>
          <w:sz w:val="28"/>
          <w:szCs w:val="28"/>
          <w:lang w:eastAsia="zh-CN"/>
        </w:rPr>
      </w:pPr>
    </w:p>
    <w:p w14:paraId="3128088D">
      <w:pPr>
        <w:pStyle w:val="2"/>
        <w:rPr>
          <w:rFonts w:hint="eastAsia" w:ascii="Times New Roman" w:hAnsi="Times New Roman" w:eastAsia="宋体" w:cs="Times New Roman"/>
          <w:b/>
          <w:sz w:val="28"/>
          <w:szCs w:val="28"/>
          <w:lang w:eastAsia="zh-CN"/>
        </w:rPr>
      </w:pPr>
    </w:p>
    <w:p w14:paraId="67C8753C">
      <w:pPr>
        <w:rPr>
          <w:rFonts w:hint="eastAsia" w:ascii="Times New Roman" w:hAnsi="Times New Roman" w:eastAsia="宋体" w:cs="Times New Roman"/>
          <w:b/>
          <w:sz w:val="28"/>
          <w:szCs w:val="28"/>
          <w:lang w:eastAsia="zh-CN"/>
        </w:rPr>
      </w:pPr>
    </w:p>
    <w:p w14:paraId="564AC5B1">
      <w:pPr>
        <w:pStyle w:val="2"/>
        <w:rPr>
          <w:rFonts w:hint="eastAsia" w:ascii="Times New Roman" w:hAnsi="Times New Roman" w:eastAsia="宋体" w:cs="Times New Roman"/>
          <w:b/>
          <w:sz w:val="28"/>
          <w:szCs w:val="28"/>
          <w:lang w:eastAsia="zh-CN"/>
        </w:rPr>
      </w:pPr>
    </w:p>
    <w:p w14:paraId="34EF6FE4">
      <w:pPr>
        <w:rPr>
          <w:rFonts w:hint="eastAsia" w:ascii="Times New Roman" w:hAnsi="Times New Roman" w:eastAsia="宋体" w:cs="Times New Roman"/>
          <w:b/>
          <w:sz w:val="28"/>
          <w:szCs w:val="28"/>
          <w:lang w:eastAsia="zh-CN"/>
        </w:rPr>
      </w:pPr>
    </w:p>
    <w:p w14:paraId="1A1600B3">
      <w:pPr>
        <w:pStyle w:val="2"/>
        <w:rPr>
          <w:rFonts w:hint="eastAsia" w:ascii="Times New Roman" w:hAnsi="Times New Roman" w:eastAsia="宋体" w:cs="Times New Roman"/>
          <w:b/>
          <w:sz w:val="28"/>
          <w:szCs w:val="28"/>
          <w:lang w:eastAsia="zh-CN"/>
        </w:rPr>
      </w:pPr>
      <w:r>
        <w:rPr>
          <w:rFonts w:hint="eastAsia" w:ascii="Times New Roman" w:hAnsi="Times New Roman" w:eastAsia="宋体" w:cs="Times New Roman"/>
          <w:b/>
          <w:sz w:val="28"/>
          <w:szCs w:val="28"/>
          <w:lang w:eastAsia="zh-CN"/>
        </w:rPr>
        <w:drawing>
          <wp:anchor distT="0" distB="0" distL="114300" distR="114300" simplePos="0" relativeHeight="251660288" behindDoc="0" locked="0" layoutInCell="1" allowOverlap="1">
            <wp:simplePos x="0" y="0"/>
            <wp:positionH relativeFrom="column">
              <wp:posOffset>130175</wp:posOffset>
            </wp:positionH>
            <wp:positionV relativeFrom="paragraph">
              <wp:posOffset>37465</wp:posOffset>
            </wp:positionV>
            <wp:extent cx="5268595" cy="5631180"/>
            <wp:effectExtent l="0" t="0" r="8255" b="7620"/>
            <wp:wrapNone/>
            <wp:docPr id="13" name="图片 13" descr="768a6ebf08a4e2444645bb3f32af8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68a6ebf08a4e2444645bb3f32af8a2"/>
                    <pic:cNvPicPr>
                      <a:picLocks noChangeAspect="1"/>
                    </pic:cNvPicPr>
                  </pic:nvPicPr>
                  <pic:blipFill>
                    <a:blip r:embed="rId7"/>
                    <a:stretch>
                      <a:fillRect/>
                    </a:stretch>
                  </pic:blipFill>
                  <pic:spPr>
                    <a:xfrm>
                      <a:off x="0" y="0"/>
                      <a:ext cx="5268595" cy="5631180"/>
                    </a:xfrm>
                    <a:prstGeom prst="rect">
                      <a:avLst/>
                    </a:prstGeom>
                  </pic:spPr>
                </pic:pic>
              </a:graphicData>
            </a:graphic>
          </wp:anchor>
        </w:drawing>
      </w:r>
    </w:p>
    <w:p w14:paraId="5FE74BD6">
      <w:pPr>
        <w:rPr>
          <w:rFonts w:hint="eastAsia"/>
          <w:lang w:eastAsia="zh-CN"/>
        </w:rPr>
      </w:pPr>
    </w:p>
    <w:p w14:paraId="16992922">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6620CB2C">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750FEF89">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7886D2A6">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2FF6DDDD">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75A1BA5C">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668D623F">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475E8F28">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4B2F0CA2">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5ABA325A">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p>
    <w:p w14:paraId="2BCAB608">
      <w:pPr>
        <w:rPr>
          <w:rFonts w:hint="eastAsia" w:ascii="楷体_GB2312" w:hAnsi="楷体_GB2312" w:eastAsia="楷体_GB2312" w:cs="楷体_GB2312"/>
          <w:b w:val="0"/>
          <w:bCs w:val="0"/>
          <w:color w:val="000000"/>
          <w:kern w:val="2"/>
          <w:sz w:val="32"/>
          <w:szCs w:val="32"/>
          <w:lang w:val="en-US" w:eastAsia="zh-CN" w:bidi="ar-SA"/>
        </w:rPr>
      </w:pPr>
    </w:p>
    <w:p w14:paraId="0B7EB118">
      <w:pPr>
        <w:pStyle w:val="2"/>
        <w:rPr>
          <w:rFonts w:hint="eastAsia" w:ascii="楷体_GB2312" w:hAnsi="楷体_GB2312" w:eastAsia="楷体_GB2312" w:cs="楷体_GB2312"/>
          <w:b w:val="0"/>
          <w:bCs w:val="0"/>
          <w:color w:val="000000"/>
          <w:kern w:val="2"/>
          <w:sz w:val="32"/>
          <w:szCs w:val="32"/>
          <w:lang w:val="en-US" w:eastAsia="zh-CN" w:bidi="ar-SA"/>
        </w:rPr>
      </w:pPr>
    </w:p>
    <w:p w14:paraId="0B6C5CCA">
      <w:pPr>
        <w:rPr>
          <w:rFonts w:hint="eastAsia" w:ascii="楷体_GB2312" w:hAnsi="楷体_GB2312" w:eastAsia="楷体_GB2312" w:cs="楷体_GB2312"/>
          <w:b w:val="0"/>
          <w:bCs w:val="0"/>
          <w:color w:val="000000"/>
          <w:kern w:val="2"/>
          <w:sz w:val="32"/>
          <w:szCs w:val="32"/>
          <w:lang w:val="en-US" w:eastAsia="zh-CN" w:bidi="ar-SA"/>
        </w:rPr>
      </w:pPr>
    </w:p>
    <w:p w14:paraId="28D3E489">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（三）气象、水文及暴雨洪水特性</w:t>
      </w:r>
    </w:p>
    <w:p w14:paraId="59CC6D12">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处高纬度，属大陆性温带，寒带气候。气候特点是：东北部与西南部气候差异大，热量不足，各地年平均气温均在0℃以下，但年差较大，无霜期短。光照充足，日照时数多，太阳总辐射量大。年降水量虽不多，但集中于夏季，作物生长季节雨水充沛。</w:t>
      </w:r>
    </w:p>
    <w:p w14:paraId="527436F8">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所在根河流域主要分布于大兴安岭温寒湿润林区，该区位于大兴安岭山体中部和北部，属大陆性温带、寒温带气候。具有独特的气候特点，温度低，湿度大，冬季漫长寒冷，春季干旱多风，夏季短促而温和，秋季温寒剧变。流域内额尔古纳市气温特点是湿度低、湿度大，属于寒温气候型。流域内东北部气候与西南部差异大，热量不足，年降水量虽不多，但集中于夏季，作物生长季节雨水充沛。低温冷害、干旱、洪涝、雹灾是该市的四大自然灾害。</w:t>
      </w:r>
    </w:p>
    <w:p w14:paraId="659C9E85">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冬季寒冷漫长少降水；春季温度回升急剧，降水少；夏季短暂，温暖，雨量充沛，雨热同季；秋季降温快，初霜早。</w:t>
      </w:r>
    </w:p>
    <w:p w14:paraId="57CA7839">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春季（4—5月），地面增温快，大风天多，降水少且变率大。平均气温3.6—6.1℃，平均降水量26—50毫米，是年降水量的7%～12%。</w:t>
      </w:r>
    </w:p>
    <w:p w14:paraId="59A3B58B">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夏季（6—8月），暖湿空气加强，温度高，降水多，雨热同季，平均温度16.1—16.7℃，极端高温度35.5—36.6℃。降水量240—360毫米，是年降水量的63%～76%。</w:t>
      </w:r>
    </w:p>
    <w:p w14:paraId="3B61ED66">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秋季（9—10月）受西北冷空气入侵，温度骤降，出现霜冻。平均温度2.5—4.1℃，平均降水量44—73毫米，占全年降水量的11%～13%。</w:t>
      </w:r>
    </w:p>
    <w:p w14:paraId="1A8806E2">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冬季（11—3月）温度低，降水少，积雪期长。平均温度-24.1—-20.6℃，降水量为23—29毫米，占年降水量的6%～7%。积雪期长达200天。</w:t>
      </w:r>
    </w:p>
    <w:p w14:paraId="1CABD364">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气象站测得历年极端最高气温36.3℃（1981年7月6日），历年极端最低气温-46.2℃（1980年1月9日）。根河流域年降水量在地区上分布不均，从上游到下游呈递减趋势。额尔古纳市区多年平均年降水量在311mm，受季风影响，降水量在年内分配不均匀，降水量主要集中在汛期6～9月，6～9月降水量占年降水量的80.7%，而春季四、五两个月份的降水量仅占年降水量的8.7%。市区多年平均年蒸发量（20cm蒸发皿观测值）为1010mm，为多年平均年降水量的3.2倍。由于春季干燥多风，夏季湿热，所以春夏两季蒸发量较大，5～9月蒸发量为781.3mm，占年蒸发量的77.3%。多年平均风速2.0m/s，最大风速2.3m/s，夏季西南风最多，冬季西北风较多。多年平均大风日数为10天左右。由于气候比较寒冷，无霜期相对较短。多年平均无霜期为91天。初霜日期最早为9月2日；终霜日期最晚为5月31日。</w:t>
      </w:r>
    </w:p>
    <w:p w14:paraId="36D98880">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2.水文</w:t>
      </w:r>
    </w:p>
    <w:p w14:paraId="7CAE3BCD">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地处大兴安岭西北麓，市内河流众多，纵横交错，长度在20公里以上，流域面积超过100平方公里的河流有81条，其中一级支流19条，二级支流28条，三级支流34条，流域面积超过5000平方公里的大河有3条。河流在地域分布上比较均匀，多呈羽状网结构，即各级支流比较均匀地分布在干流两侧，河网密度系数为0.25—0.35公里/平方公里。</w:t>
      </w:r>
    </w:p>
    <w:p w14:paraId="2BD4CB45">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3.洪水类型及洪水特性分析</w:t>
      </w:r>
    </w:p>
    <w:p w14:paraId="0E646F3C">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洪水由降雨产生，暴雨、连雨、降雪是产生洪水的主要原因。大的河流洪水由长历时阴雨和大面积暴雨形成，连阴雨天中易出现暴雨。其中1988年8月5日～9日，降雨量达到113.6毫米。降雨过程，历时短，降水总量大，范围广。小河流洪水及山洪由短历时的局部降雨形成，降雨特点：历时短，强度大，暴雨多出现在7、8月，有进6月、9月也出现暴雨。</w:t>
      </w:r>
    </w:p>
    <w:p w14:paraId="67EE9196">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lang w:eastAsia="zh-CN"/>
        </w:rPr>
      </w:pPr>
      <w:r>
        <w:rPr>
          <w:rFonts w:hint="eastAsia" w:ascii="仿宋_GB2312" w:hAnsi="仿宋_GB2312" w:eastAsia="仿宋_GB2312" w:cs="仿宋_GB2312"/>
          <w:b w:val="0"/>
          <w:bCs w:val="0"/>
          <w:color w:val="000000"/>
          <w:kern w:val="0"/>
          <w:sz w:val="32"/>
          <w:szCs w:val="32"/>
          <w:lang w:val="en-US" w:eastAsia="zh-CN" w:bidi="ar-SA"/>
        </w:rPr>
        <w:t>洪水主要发生在7月—8月，洪峰次数少，一般为2—3次，洪水过程线呈瘦窄状（起落较大），洪水历时一般为8—12天，洪水过程线多为单峰型。山洪特点：历时短，水流急，破坏力强。</w:t>
      </w:r>
    </w:p>
    <w:p w14:paraId="25F27CC7">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（四）地形地质</w:t>
      </w:r>
    </w:p>
    <w:p w14:paraId="2E6A10C5">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位于内蒙古自治区大兴安岭西北麓，呼伦贝尔草原北端，额尔古纳河右岸。北纬50°01′—53°26′，东经119°07′—121°49′，为内蒙古自治区纬度最高的市。额尔古纳市境东北部与黑龙江省漠河县毗连，东部与根河市为邻，东南及南部与牙克石市、陈巴尔虎旗接壤，西部及北部隔额尔古纳河与俄罗斯相望。南北约600公里，东西宽（最窄地段）约50公里，边境线长667公里，全市总面积28444.64平方公里。</w:t>
      </w:r>
    </w:p>
    <w:p w14:paraId="00295A6E">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境内地形东高西低，中部高南北低，这一地势特征使区内河流顺应其地形大势，由东部和中部向北、西、南三面分流。境内最高点为海拔1421米。最低点为海拔308.2米。山地和平原，主要是相互穿插状交替出现，山地是区内地貌主体，沟谷和河谷平原呈枝状，网状散布其间。冲积平原（洪积）倾斜平原和侵蚀台地占全市地貌的3.1%，大多呈零星小块分布在境南部，或散布在额尔古纳河右岸。</w:t>
      </w:r>
    </w:p>
    <w:p w14:paraId="7A137DE0">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境内地貌形态，主要有中山、低山和丘陵三种基本形态单元，按其表面形态组合的自然分布，全市可划分出中山区、低山区、丘陵区、平原区四个地貌分区。额尔古纳市山地面积为12719平方公里，占全市总面积的43.7%。市内低山面积为9534平方公里，占全市山地面积的52.4%，为全市总面积的32.7%。丘陵面积为3971平方公里，占全市总面积的19.7%。区内出露平原面积为9016平方公里，占全市面积的30.9%。</w:t>
      </w:r>
    </w:p>
    <w:p w14:paraId="106DCBD6">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r>
        <w:rPr>
          <w:rFonts w:hint="eastAsia" w:ascii="楷体_GB2312" w:hAnsi="楷体_GB2312" w:eastAsia="楷体_GB2312" w:cs="楷体_GB2312"/>
          <w:b w:val="0"/>
          <w:bCs w:val="0"/>
          <w:color w:val="000000"/>
          <w:kern w:val="2"/>
          <w:sz w:val="32"/>
          <w:szCs w:val="32"/>
          <w:lang w:val="zh-CN" w:eastAsia="zh-CN" w:bidi="ar-SA"/>
        </w:rPr>
        <w:t>（</w:t>
      </w:r>
      <w:r>
        <w:rPr>
          <w:rFonts w:hint="eastAsia" w:ascii="楷体_GB2312" w:hAnsi="楷体_GB2312" w:eastAsia="楷体_GB2312" w:cs="楷体_GB2312"/>
          <w:b w:val="0"/>
          <w:bCs w:val="0"/>
          <w:color w:val="000000"/>
          <w:kern w:val="2"/>
          <w:sz w:val="32"/>
          <w:szCs w:val="32"/>
          <w:lang w:val="en-US" w:eastAsia="zh-CN" w:bidi="ar-SA"/>
        </w:rPr>
        <w:t>五</w:t>
      </w:r>
      <w:r>
        <w:rPr>
          <w:rFonts w:hint="eastAsia" w:ascii="楷体_GB2312" w:hAnsi="楷体_GB2312" w:eastAsia="楷体_GB2312" w:cs="楷体_GB2312"/>
          <w:b w:val="0"/>
          <w:bCs w:val="0"/>
          <w:color w:val="000000"/>
          <w:kern w:val="2"/>
          <w:sz w:val="32"/>
          <w:szCs w:val="32"/>
          <w:lang w:val="zh-CN" w:eastAsia="zh-CN" w:bidi="ar-SA"/>
        </w:rPr>
        <w:t>）</w:t>
      </w:r>
      <w:r>
        <w:rPr>
          <w:rFonts w:hint="eastAsia" w:ascii="楷体_GB2312" w:hAnsi="楷体_GB2312" w:eastAsia="楷体_GB2312" w:cs="楷体_GB2312"/>
          <w:b w:val="0"/>
          <w:bCs w:val="0"/>
          <w:color w:val="000000"/>
          <w:kern w:val="2"/>
          <w:sz w:val="32"/>
          <w:szCs w:val="32"/>
          <w:lang w:val="en-US" w:eastAsia="zh-CN" w:bidi="ar-SA"/>
        </w:rPr>
        <w:t>水灾害</w:t>
      </w:r>
      <w:r>
        <w:rPr>
          <w:rFonts w:hint="eastAsia" w:ascii="楷体_GB2312" w:hAnsi="楷体_GB2312" w:eastAsia="楷体_GB2312" w:cs="楷体_GB2312"/>
          <w:b w:val="0"/>
          <w:bCs w:val="0"/>
          <w:color w:val="000000"/>
          <w:kern w:val="2"/>
          <w:sz w:val="32"/>
          <w:szCs w:val="32"/>
          <w:lang w:val="zh-CN" w:eastAsia="zh-CN" w:bidi="ar-SA"/>
        </w:rPr>
        <w:t>成因</w:t>
      </w:r>
    </w:p>
    <w:p w14:paraId="48DF3F08">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bookmarkStart w:id="11" w:name="_Toc357843664"/>
      <w:r>
        <w:rPr>
          <w:rFonts w:hint="eastAsia" w:ascii="仿宋_GB2312" w:hAnsi="仿宋_GB2312" w:eastAsia="仿宋_GB2312" w:cs="仿宋_GB2312"/>
          <w:b/>
          <w:bCs/>
          <w:color w:val="000000"/>
          <w:kern w:val="0"/>
          <w:sz w:val="32"/>
          <w:szCs w:val="32"/>
          <w:lang w:val="en-US" w:eastAsia="zh-CN" w:bidi="ar-SA"/>
        </w:rPr>
        <w:t>1.历史洪水情况</w:t>
      </w:r>
    </w:p>
    <w:p w14:paraId="3C42F0F8">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1948年～1988年，40年中洪水发生5年次。1989～2003年14年中，因没有水文资料记录，没有编入方案。据资料查得，较大洪水年份为1948、1955、1956、1984、1988、2004。</w:t>
      </w:r>
    </w:p>
    <w:p w14:paraId="53E0AF81">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1948年，因大雨连降十几天，引起山洪暴发，洪水冲出7条大沟，深达3～4米，冲走民宅2幢，冲塌13幢，死亡牲畜79头（只）。</w:t>
      </w:r>
    </w:p>
    <w:p w14:paraId="3712700B">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1955年，拉布大林牧场大暴雨，引起山体滑坡，形成泥石流，死亡牲畜80余头（只），经济损失3万多元。</w:t>
      </w:r>
    </w:p>
    <w:p w14:paraId="63A7CC3F">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1956年，阴雨连绵10日，各河流水位猛涨，三河至室韦公路被冲毁，毁坏大桥3座。</w:t>
      </w:r>
    </w:p>
    <w:p w14:paraId="3AB29D1F">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1984年，因连阴雨，拉布大林电厂被淹，停电140小时，少发电21万度电，冲走原煤80吨，损失6万元。倒塌房屋27</w:t>
      </w:r>
      <w:r>
        <w:rPr>
          <w:rFonts w:hint="eastAsia" w:ascii="仿宋_GB2312" w:hAnsi="仿宋_GB2312" w:eastAsia="仿宋_GB2312" w:cs="仿宋_GB2312"/>
          <w:b w:val="0"/>
          <w:bCs w:val="0"/>
          <w:color w:val="000000"/>
          <w:spacing w:val="-6"/>
          <w:kern w:val="0"/>
          <w:sz w:val="32"/>
          <w:szCs w:val="32"/>
          <w:lang w:val="en-US" w:eastAsia="zh-CN" w:bidi="ar-SA"/>
        </w:rPr>
        <w:t>间，损坏35间，减产粮食109万斤，油料7872斤，受灾1046人。</w:t>
      </w:r>
    </w:p>
    <w:p w14:paraId="063967C6">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1988年8月8日因连降大暴雨，降雨量达113.6毫米，根河流量达到3320立方米/每秒。额尔古纳市遭受特大洪水灾害，其中冲毁桥梁23座，涵洞96座，路基56处（47公里），过水路面87.5公里，损失折合人民币633万元。拉布大林电厂被迫停电，厂矿停产。木材：760立方米，农业29万亩，减产5000万斤。全市饲草产量120万捆，其中水泡发霉达到100万捆，冲毁堤坝1233米。</w:t>
      </w:r>
    </w:p>
    <w:p w14:paraId="625D205B">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2004年4月15日额尔古纳市由于气温迅速回升，大量降雪融化形成地表径流，融化的雪水产流速度较好，致使那尔莫格其河堤防、市海三公路以东矿区附近发生了凌汛险情、灾情。该次凌汛流量达到70立方米/秒，相当于10年一遇洪水流量，并且由于该河流比降大，流速快，河水对堤防冲刷严重，造成堤防多处险段，甚至部分堤段面临决堤的危险，堤防水毁严重。</w:t>
      </w:r>
    </w:p>
    <w:p w14:paraId="6FA60629">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区海三公路以东排水不畅，附近居民住户受灾。矿区1号井以东，原企业修建土坝因矿区附近地表沉陷，造成原土坝多处断裂，导致坡水流入矿区，通过2号井附近沉陷区流入井内，因1号井位于2号井下部60余米，2号井与1号井之间基岩裂隙发育丰富，致使1号井进水，造成该井停产。</w:t>
      </w:r>
    </w:p>
    <w:p w14:paraId="4B7F8EDC">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2013年7月26日以来，呼伦贝尔地区连续遭遇强降雨天气，额尔古纳市上库力地区最大降水量达100.2毫米，拉布大林地区最大降水量达74毫米。强降雨导致根河水位猛涨，7月31日10时，根河拉布大林水文站水位达到99.83米，流量达到3680立方米每秒，达到百年一遇洪水标准，我市拉布大林、上库力、三河、黑山头、莫尔道嘎、室韦、奇乾等地区不同程度遭受洪灾。8月12日下午17时—18时，我市三河、苏沁、上库力地区再次遭遇短时强降雨天气，导致山洪下泄、河道水位上涨，部分居民住宅进水。造成直接经济损失达60289.22万元。</w:t>
      </w:r>
    </w:p>
    <w:p w14:paraId="06412DC5">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zh-CN" w:eastAsia="zh-CN" w:bidi="ar-SA"/>
        </w:rPr>
        <w:t>（</w:t>
      </w:r>
      <w:r>
        <w:rPr>
          <w:rFonts w:hint="eastAsia" w:ascii="楷体_GB2312" w:hAnsi="楷体_GB2312" w:eastAsia="楷体_GB2312" w:cs="楷体_GB2312"/>
          <w:b w:val="0"/>
          <w:bCs w:val="0"/>
          <w:color w:val="000000"/>
          <w:kern w:val="2"/>
          <w:sz w:val="32"/>
          <w:szCs w:val="32"/>
          <w:lang w:val="en-US" w:eastAsia="zh-CN" w:bidi="ar-SA"/>
        </w:rPr>
        <w:t>六</w:t>
      </w:r>
      <w:r>
        <w:rPr>
          <w:rFonts w:hint="eastAsia" w:ascii="楷体_GB2312" w:hAnsi="楷体_GB2312" w:eastAsia="楷体_GB2312" w:cs="楷体_GB2312"/>
          <w:b w:val="0"/>
          <w:bCs w:val="0"/>
          <w:color w:val="000000"/>
          <w:kern w:val="2"/>
          <w:sz w:val="32"/>
          <w:szCs w:val="32"/>
          <w:lang w:val="zh-CN" w:eastAsia="zh-CN" w:bidi="ar-SA"/>
        </w:rPr>
        <w:t>）</w:t>
      </w:r>
      <w:r>
        <w:rPr>
          <w:rFonts w:hint="eastAsia" w:ascii="楷体_GB2312" w:hAnsi="楷体_GB2312" w:eastAsia="楷体_GB2312" w:cs="楷体_GB2312"/>
          <w:b w:val="0"/>
          <w:bCs w:val="0"/>
          <w:color w:val="000000"/>
          <w:kern w:val="2"/>
          <w:sz w:val="32"/>
          <w:szCs w:val="32"/>
          <w:lang w:val="en-US" w:eastAsia="zh-CN" w:bidi="ar-SA"/>
        </w:rPr>
        <w:t>主要水利工程（堤防）分布情况</w:t>
      </w:r>
    </w:p>
    <w:p w14:paraId="6F05688D">
      <w:pPr>
        <w:pageBreakBefore w:val="0"/>
        <w:kinsoku/>
        <w:wordWrap/>
        <w:autoSpaceDE/>
        <w:autoSpaceDN/>
        <w:bidi w:val="0"/>
        <w:adjustRightInd/>
        <w:snapToGrid/>
        <w:spacing w:line="600" w:lineRule="atLeast"/>
        <w:jc w:val="center"/>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表1 额尔古纳市水利工程分布表</w:t>
      </w:r>
    </w:p>
    <w:tbl>
      <w:tblPr>
        <w:tblStyle w:val="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7"/>
        <w:gridCol w:w="3912"/>
        <w:gridCol w:w="1669"/>
        <w:gridCol w:w="2178"/>
      </w:tblGrid>
      <w:tr w14:paraId="10F58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A278BC">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CE22A2">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D4F83">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长度</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EE29A">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堤防等级</w:t>
            </w:r>
          </w:p>
        </w:tc>
      </w:tr>
      <w:tr w14:paraId="56D0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5320F">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573D9">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额尔古纳市区堤防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1215F">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2.487</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8781B">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2级</w:t>
            </w:r>
          </w:p>
        </w:tc>
      </w:tr>
      <w:tr w14:paraId="149DD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F5FD3">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E06F3">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1EDF63">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15.627</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7D10C">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4级</w:t>
            </w:r>
          </w:p>
        </w:tc>
      </w:tr>
      <w:tr w14:paraId="705A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B7C60">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798F8">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三河回族乡堤防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E98AC">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4.07</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D7C19">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4级</w:t>
            </w:r>
          </w:p>
        </w:tc>
      </w:tr>
      <w:tr w14:paraId="570C6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EA73B1">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22394">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恩和村堤防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CD9462">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3.855</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AF1121">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4级</w:t>
            </w:r>
          </w:p>
        </w:tc>
      </w:tr>
      <w:tr w14:paraId="3D1E8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9DF79">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887C3">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临江村堤防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187BE">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1.027</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C3A3A">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4级</w:t>
            </w:r>
          </w:p>
        </w:tc>
      </w:tr>
      <w:tr w14:paraId="17C08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trPr>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34416">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215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D43EC">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下乌根村堤防</w:t>
            </w:r>
          </w:p>
        </w:tc>
        <w:tc>
          <w:tcPr>
            <w:tcW w:w="9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1D2CE">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1.553</w:t>
            </w:r>
          </w:p>
        </w:tc>
        <w:tc>
          <w:tcPr>
            <w:tcW w:w="12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3BB19F">
            <w:pPr>
              <w:keepNext w:val="0"/>
              <w:keepLines w:val="0"/>
              <w:pageBreakBefore w:val="0"/>
              <w:widowControl/>
              <w:suppressLineNumbers w:val="0"/>
              <w:kinsoku/>
              <w:wordWrap/>
              <w:autoSpaceDE/>
              <w:autoSpaceDN/>
              <w:bidi w:val="0"/>
              <w:adjustRightInd/>
              <w:snapToGrid/>
              <w:spacing w:line="600" w:lineRule="atLeast"/>
              <w:jc w:val="center"/>
              <w:textAlignment w:val="center"/>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4级</w:t>
            </w:r>
          </w:p>
        </w:tc>
      </w:tr>
    </w:tbl>
    <w:p w14:paraId="4D13E7E4">
      <w:pPr>
        <w:pStyle w:val="2"/>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 w:name="_Toc31156"/>
      <w:r>
        <w:rPr>
          <w:rFonts w:hint="eastAsia" w:ascii="楷体_GB2312" w:hAnsi="楷体_GB2312" w:eastAsia="楷体_GB2312" w:cs="楷体_GB2312"/>
          <w:b w:val="0"/>
          <w:bCs w:val="0"/>
          <w:color w:val="000000"/>
          <w:kern w:val="2"/>
          <w:sz w:val="32"/>
          <w:szCs w:val="32"/>
          <w:lang w:val="en-US" w:eastAsia="zh-CN" w:bidi="ar-SA"/>
        </w:rPr>
        <w:t>（七）水灾害防御现状</w:t>
      </w:r>
      <w:bookmarkEnd w:id="11"/>
      <w:bookmarkEnd w:id="12"/>
    </w:p>
    <w:p w14:paraId="70A6649D">
      <w:pPr>
        <w:pStyle w:val="21"/>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1.洪涝防御体系</w:t>
      </w:r>
    </w:p>
    <w:p w14:paraId="774F9DC5">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城区防洪堤总长6.47公里，城区北根河段堤防长度为2467m，堤顶宽9m，坡比为1:2.5，迎水坡采用30cm格宾网石笼护坡，背水坡采用植草护坡，铅丝石笼水平护脚，防御标准为50年一遇的洪水。城区南那尔莫格其河段堤防长度为4000m，堤顶宽9m，全线采用浆砌石护坡，坡比为1:2.5，重力式浆砌石挡土墙护脚，防御标准为30年一遇的洪水，其主要功能是防春季冰凌灾害和夏季的暴雨山洪灾害。</w:t>
      </w:r>
    </w:p>
    <w:p w14:paraId="2C09B097">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市区排水沟总长53公里，市内主要街道以过水路面的形式排水。市区北部属根河流域，是一处天然的湿地，地域宽阔是城区理想的蓄滞洪区。市区现有的防洪排水沟尚属简易排水沟，由于地理及气候等问题，排水沟阻水问题比较严重，须投入大量的资金、人力疏通改造，以确保汛期的安全。</w:t>
      </w:r>
    </w:p>
    <w:p w14:paraId="7299FA6A">
      <w:pPr>
        <w:pStyle w:val="21"/>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2.重点防护对象</w:t>
      </w:r>
    </w:p>
    <w:p w14:paraId="49A020DE">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城市的重点防护对象有：市委、市政府机关、额尔古纳市森警支队、额尔古纳市边防检查站、学校、城区内的居民区、电台、电视台、供水、供电、供热等生命线工程、城区内易积水的交通干线、重点物资的仓储地等，重点保护企业有内蒙古华创能源有限公司、呼伦贝尔市春蕾麦芽有限公司、新兴煤业有限公司、光明煤业有限公司、金鑫煤业有限公司、呼伦贝尔市塞尚雀巢有限公司。防（受）汛重点单位在雨季实行24小时值守。</w:t>
      </w:r>
    </w:p>
    <w:p w14:paraId="4C9C9440">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保护这些重点对象的基本目的是能够使防洪抢险顺利进行，以保障额尔古纳市人民生命财产的安全及经济社会繁荣稳定。</w:t>
      </w:r>
    </w:p>
    <w:p w14:paraId="3E3471AB">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3" w:name="_Toc2095"/>
      <w:r>
        <w:rPr>
          <w:rFonts w:hint="eastAsia" w:ascii="黑体" w:hAnsi="黑体" w:eastAsia="黑体" w:cs="黑体"/>
          <w:b w:val="0"/>
          <w:bCs w:val="0"/>
          <w:sz w:val="32"/>
          <w:szCs w:val="32"/>
          <w:lang w:val="en-US" w:eastAsia="zh-CN"/>
        </w:rPr>
        <w:t>三、组织机构及职责分工</w:t>
      </w:r>
      <w:bookmarkEnd w:id="13"/>
    </w:p>
    <w:p w14:paraId="4CCF6882">
      <w:pPr>
        <w:pStyle w:val="2"/>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 w:name="_Toc7322"/>
      <w:r>
        <w:rPr>
          <w:rFonts w:hint="eastAsia" w:ascii="楷体_GB2312" w:hAnsi="楷体_GB2312" w:eastAsia="楷体_GB2312" w:cs="楷体_GB2312"/>
          <w:b w:val="0"/>
          <w:bCs w:val="0"/>
          <w:color w:val="000000"/>
          <w:kern w:val="2"/>
          <w:sz w:val="32"/>
          <w:szCs w:val="32"/>
          <w:lang w:val="en-US" w:eastAsia="zh-CN" w:bidi="ar-SA"/>
        </w:rPr>
        <w:t>（一）领导机构及职责</w:t>
      </w:r>
      <w:bookmarkEnd w:id="14"/>
    </w:p>
    <w:p w14:paraId="0D109BB4">
      <w:pPr>
        <w:pStyle w:val="6"/>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额尔古纳市人民政府是额尔古纳市行政区域内</w:t>
      </w:r>
      <w:r>
        <w:rPr>
          <w:rFonts w:hint="eastAsia" w:ascii="仿宋_GB2312" w:hAnsi="仿宋_GB2312" w:eastAsia="仿宋_GB2312" w:cs="仿宋_GB2312"/>
          <w:b w:val="0"/>
          <w:bCs w:val="0"/>
          <w:color w:val="000000"/>
          <w:kern w:val="0"/>
          <w:sz w:val="32"/>
          <w:szCs w:val="32"/>
          <w:lang w:val="en-US" w:eastAsia="zh-CN" w:bidi="ar-SA"/>
        </w:rPr>
        <w:t>汛情转移民众</w:t>
      </w:r>
      <w:r>
        <w:rPr>
          <w:rFonts w:hint="default" w:ascii="仿宋_GB2312" w:hAnsi="仿宋_GB2312" w:eastAsia="仿宋_GB2312" w:cs="仿宋_GB2312"/>
          <w:b w:val="0"/>
          <w:bCs w:val="0"/>
          <w:color w:val="000000"/>
          <w:kern w:val="0"/>
          <w:sz w:val="32"/>
          <w:szCs w:val="32"/>
          <w:lang w:val="en-US" w:eastAsia="zh-CN" w:bidi="ar-SA"/>
        </w:rPr>
        <w:t>工作的行政领导机构，负责统一领导全市的</w:t>
      </w:r>
      <w:r>
        <w:rPr>
          <w:rFonts w:hint="eastAsia" w:ascii="仿宋_GB2312" w:hAnsi="仿宋_GB2312" w:eastAsia="仿宋_GB2312" w:cs="仿宋_GB2312"/>
          <w:b w:val="0"/>
          <w:bCs w:val="0"/>
          <w:color w:val="000000"/>
          <w:kern w:val="0"/>
          <w:sz w:val="32"/>
          <w:szCs w:val="32"/>
          <w:lang w:val="en-US" w:eastAsia="zh-CN" w:bidi="ar-SA"/>
        </w:rPr>
        <w:t>汛情转移民众</w:t>
      </w:r>
      <w:r>
        <w:rPr>
          <w:rFonts w:hint="default" w:ascii="仿宋_GB2312" w:hAnsi="仿宋_GB2312" w:eastAsia="仿宋_GB2312" w:cs="仿宋_GB2312"/>
          <w:b w:val="0"/>
          <w:bCs w:val="0"/>
          <w:color w:val="000000"/>
          <w:kern w:val="0"/>
          <w:sz w:val="32"/>
          <w:szCs w:val="32"/>
          <w:lang w:val="en-US" w:eastAsia="zh-CN" w:bidi="ar-SA"/>
        </w:rPr>
        <w:t>工作。</w:t>
      </w:r>
    </w:p>
    <w:p w14:paraId="6B741FDB">
      <w:pPr>
        <w:pStyle w:val="2"/>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5" w:name="_Toc12781"/>
      <w:r>
        <w:rPr>
          <w:rFonts w:hint="eastAsia" w:ascii="楷体_GB2312" w:hAnsi="楷体_GB2312" w:eastAsia="楷体_GB2312" w:cs="楷体_GB2312"/>
          <w:b w:val="0"/>
          <w:bCs w:val="0"/>
          <w:color w:val="000000"/>
          <w:kern w:val="2"/>
          <w:sz w:val="32"/>
          <w:szCs w:val="32"/>
          <w:lang w:val="en-US" w:eastAsia="zh-CN" w:bidi="ar-SA"/>
        </w:rPr>
        <w:t>（二）指挥机构及职责</w:t>
      </w:r>
      <w:bookmarkEnd w:id="15"/>
    </w:p>
    <w:p w14:paraId="6C871FB1">
      <w:pPr>
        <w:pStyle w:val="21"/>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1.额尔古纳市减灾指挥部</w:t>
      </w:r>
    </w:p>
    <w:p w14:paraId="6209E6F1">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额尔古纳市减灾指挥部是额尔古纳市行政区域内汛情转移民众工作的指挥机构，在市人民政府的领导下，负责统一指挥、协调、部署全市汛情转移民众工作。其组成如下：</w:t>
      </w:r>
    </w:p>
    <w:p w14:paraId="317A72F7">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   指   挥：耿  浩  市政府市长</w:t>
      </w:r>
    </w:p>
    <w:p w14:paraId="71455A41">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常务副总指挥：王兴扬  市政府常务副市长</w:t>
      </w:r>
    </w:p>
    <w:p w14:paraId="569E367D">
      <w:pPr>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市政府副市长</w:t>
      </w:r>
      <w:r>
        <w:rPr>
          <w:rFonts w:hint="eastAsia" w:ascii="仿宋_GB2312" w:hAnsi="仿宋_GB2312" w:eastAsia="仿宋_GB2312" w:cs="仿宋_GB2312"/>
          <w:b w:val="0"/>
          <w:bCs w:val="0"/>
          <w:color w:val="000000"/>
          <w:kern w:val="0"/>
          <w:sz w:val="32"/>
          <w:szCs w:val="32"/>
          <w:lang w:val="en-US" w:eastAsia="zh-CN" w:bidi="ar-SA"/>
        </w:rPr>
        <w:t>：游  钎</w:t>
      </w:r>
    </w:p>
    <w:p w14:paraId="34557967">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 总  指 挥：市政府办公室主任：胥继良</w:t>
      </w:r>
    </w:p>
    <w:p w14:paraId="3411DF8E">
      <w:pPr>
        <w:pStyle w:val="6"/>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市应急管理局局长：丁  波</w:t>
      </w:r>
    </w:p>
    <w:p w14:paraId="672419F1">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员单位：市委宣传部、市发改委、市教科局、市工信局、市公安局、市民政局、市司法局、市财政局、市人社局、市自然资源局、市生态环境分局、市住建局、市交通运输局、市水利局、市农牧局、市卫健委、市市场监管局、市文化旅游体育局、市统计局、市林草局、市气象局、市消防救援大队、市红十字会、市科协、团市委等有关部门单位。</w:t>
      </w:r>
    </w:p>
    <w:p w14:paraId="2E191EB4">
      <w:pPr>
        <w:pStyle w:val="21"/>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2.市减灾指挥部主要职责</w:t>
      </w:r>
    </w:p>
    <w:p w14:paraId="06FBE856">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减灾指挥部的主要职责：在额尔古纳市人民政府的统一领导下，指挥和协调汛情转移民众工作；贯彻执行国家有关防汛工作的方针、政策、法规和法令；拟订全市地方性防汛的政策、法规和制度等。协调指导全市境内重要江河湖泊和重要水工程实施防御洪水以及应急水量调度工作；组织相关部门开展防汛队伍建设和物资储备；组织协调指导水灾害应急救援工作；负责确定进入汛期和结束汛期时间；负责汛情、旱情信息收集和发布。</w:t>
      </w:r>
    </w:p>
    <w:p w14:paraId="470AAB2D">
      <w:pPr>
        <w:pStyle w:val="5"/>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3.总指挥、常务副总指挥、副总指挥主要职责</w:t>
      </w:r>
    </w:p>
    <w:p w14:paraId="32683C78">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总指挥的主要职责：负责市减灾指挥部的领导工作，对本级汛情转移民众工作实施统一指挥。</w:t>
      </w:r>
    </w:p>
    <w:p w14:paraId="32CCFF8F">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常务副总指挥：协助总指挥负责市减灾指挥部的工作，经总指挥授权后启动、终止应急预案。</w:t>
      </w:r>
    </w:p>
    <w:p w14:paraId="174369D8">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副总指挥：按照职责分工和战时需要协助总指挥、常务副总指挥开展汛情转移民众工作。</w:t>
      </w:r>
    </w:p>
    <w:p w14:paraId="78BB97E1">
      <w:pPr>
        <w:pStyle w:val="2"/>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 w:name="_Toc938"/>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16"/>
      <w:r>
        <w:rPr>
          <w:rFonts w:hint="eastAsia" w:ascii="楷体_GB2312" w:hAnsi="楷体_GB2312" w:eastAsia="楷体_GB2312" w:cs="楷体_GB2312"/>
          <w:b w:val="0"/>
          <w:bCs w:val="0"/>
          <w:color w:val="000000"/>
          <w:kern w:val="2"/>
          <w:sz w:val="32"/>
          <w:szCs w:val="32"/>
          <w:lang w:val="en-US" w:eastAsia="zh-CN" w:bidi="ar-SA"/>
        </w:rPr>
        <w:tab/>
      </w:r>
    </w:p>
    <w:p w14:paraId="62B2073B">
      <w:pPr>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额尔古纳市减灾指挥部办公室是额尔古纳市市减灾指挥部的日常工作机构，设在市应急管理局。指挥部办公室主任由市应急管理局局长兼任，副主任由市应急管理局副局长兼任。</w:t>
      </w:r>
    </w:p>
    <w:p w14:paraId="52F65F7A">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减灾指挥部办公室的主要职责，负责组织协调汛情转移民众工作，汇总上报险情灾情和应急处置与救灾进展情况；组织有关部门和专家分析灾害发展趋势，适时启动应急会商机制，提出具体的应急措施建议；贯彻指挥部的指示和部署，协调有关苏木、乡、镇、街道办事处、市直部门和指挥部成员单位之间的汛情转移民众工作，并督促落实；会同市委宣传部组织应急处置与救灾的新闻发布；承担指挥部日常事务和交办的其他工作。</w:t>
      </w:r>
    </w:p>
    <w:p w14:paraId="64FCC4D2">
      <w:pPr>
        <w:pStyle w:val="2"/>
        <w:pageBreakBefore w:val="0"/>
        <w:widowControl w:val="0"/>
        <w:kinsoku/>
        <w:wordWrap/>
        <w:overflowPunct/>
        <w:topLinePunct w:val="0"/>
        <w:autoSpaceDE/>
        <w:autoSpaceDN/>
        <w:bidi w:val="0"/>
        <w:adjustRightInd/>
        <w:snapToGrid/>
        <w:spacing w:before="0" w:after="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7" w:name="_Toc32004"/>
      <w:r>
        <w:rPr>
          <w:rFonts w:hint="eastAsia" w:ascii="楷体_GB2312" w:hAnsi="楷体_GB2312" w:eastAsia="楷体_GB2312" w:cs="楷体_GB2312"/>
          <w:b w:val="0"/>
          <w:bCs w:val="0"/>
          <w:color w:val="000000"/>
          <w:kern w:val="2"/>
          <w:sz w:val="32"/>
          <w:szCs w:val="32"/>
          <w:lang w:val="en-US" w:eastAsia="zh-CN" w:bidi="ar-SA"/>
        </w:rPr>
        <w:t>（四）市减灾指挥部专项工作组</w:t>
      </w:r>
      <w:bookmarkEnd w:id="17"/>
    </w:p>
    <w:p w14:paraId="4AC7B88F">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发生汛情后，市减灾指挥部在灾区设立现场指挥部，视情成立指挥组、协调组、保障组等工作组。根据需要，指挥部可对工作组的设立进行调整。各工作组组长由市减灾指挥部指令专人担任，各工作组人员从相关单位抽调。</w:t>
      </w:r>
    </w:p>
    <w:p w14:paraId="52BDAE40">
      <w:pPr>
        <w:pStyle w:val="4"/>
        <w:pageBreakBefore w:val="0"/>
        <w:widowControl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1.指挥组</w:t>
      </w:r>
    </w:p>
    <w:p w14:paraId="3611284A">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组长：市应急管理局局长</w:t>
      </w:r>
    </w:p>
    <w:p w14:paraId="48F8380E">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成员：市公安局、市交通局、市民政局、市水利局主要领导。</w:t>
      </w:r>
    </w:p>
    <w:p w14:paraId="5F8858D6">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主要职责：根据总指挥和副总指挥的安排部署，统一指挥全市防汛抗洪群众转移安置工作。发生汛情需要转移安置受灾群众，第一时间组织转移安置受灾群众。</w:t>
      </w:r>
    </w:p>
    <w:p w14:paraId="52C1E85C">
      <w:pPr>
        <w:pStyle w:val="4"/>
        <w:pageBreakBefore w:val="0"/>
        <w:widowControl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2.协调组</w:t>
      </w:r>
    </w:p>
    <w:p w14:paraId="2632EE58">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组长：市委办公室主任</w:t>
      </w:r>
    </w:p>
    <w:p w14:paraId="272C6F5A">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成员：市委宣传部分管领导、市政府政办、市财政局、市交通局主要领导。</w:t>
      </w:r>
    </w:p>
    <w:p w14:paraId="0B368CA8">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主要职责：根据指挥组的安排，负责信息报送、宣传和舆论掌控工作。</w:t>
      </w:r>
    </w:p>
    <w:p w14:paraId="4ECE6B65">
      <w:pPr>
        <w:pStyle w:val="4"/>
        <w:pageBreakBefore w:val="0"/>
        <w:widowControl w:val="0"/>
        <w:kinsoku/>
        <w:wordWrap/>
        <w:overflowPunct/>
        <w:topLinePunct w:val="0"/>
        <w:autoSpaceDE/>
        <w:autoSpaceDN/>
        <w:bidi w:val="0"/>
        <w:adjustRightInd/>
        <w:snapToGrid/>
        <w:spacing w:beforeLines="0" w:afterLines="0" w:line="600" w:lineRule="exact"/>
        <w:ind w:left="0" w:leftChars="0"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3.保障组</w:t>
      </w:r>
    </w:p>
    <w:p w14:paraId="7E5E9C16">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组长：市政府办公室主任</w:t>
      </w:r>
    </w:p>
    <w:p w14:paraId="1F7C0686">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成员：市财政局、市发改委、市卫健委、市水利局、市交通局、市气象局主要领导。</w:t>
      </w:r>
    </w:p>
    <w:p w14:paraId="6E23994B">
      <w:pPr>
        <w:pStyle w:val="5"/>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主要职责：做好资金、物资、防疫、水利信息、所需车辆、气象信息的保障工作。</w:t>
      </w:r>
    </w:p>
    <w:p w14:paraId="0F0FE700">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8" w:name="_Toc6710"/>
      <w:bookmarkStart w:id="19" w:name="_Toc30053"/>
      <w:r>
        <w:rPr>
          <w:rFonts w:hint="eastAsia" w:ascii="黑体" w:hAnsi="黑体" w:eastAsia="黑体" w:cs="黑体"/>
          <w:b w:val="0"/>
          <w:bCs w:val="0"/>
          <w:sz w:val="32"/>
          <w:szCs w:val="32"/>
          <w:lang w:val="en-US" w:eastAsia="zh-CN"/>
        </w:rPr>
        <w:t>四、危险区、安全区划分</w:t>
      </w:r>
      <w:bookmarkEnd w:id="18"/>
      <w:bookmarkEnd w:id="19"/>
    </w:p>
    <w:p w14:paraId="059F0103">
      <w:pPr>
        <w:pStyle w:val="2"/>
        <w:pageBreakBefore w:val="0"/>
        <w:kinsoku/>
        <w:wordWrap/>
        <w:autoSpaceDE/>
        <w:autoSpaceDN/>
        <w:bidi w:val="0"/>
        <w:adjustRightInd/>
        <w:snapToGrid/>
        <w:spacing w:line="600" w:lineRule="atLeast"/>
        <w:jc w:val="center"/>
        <w:rPr>
          <w:rFonts w:hint="eastAsia"/>
          <w:lang w:val="en-US" w:eastAsia="zh-CN"/>
        </w:rPr>
      </w:pPr>
      <w:bookmarkStart w:id="20" w:name="_Toc26642"/>
      <w:r>
        <w:rPr>
          <w:rFonts w:hint="eastAsia" w:ascii="仿宋_GB2312" w:hAnsi="仿宋_GB2312" w:eastAsia="仿宋_GB2312" w:cs="仿宋_GB2312"/>
          <w:b/>
          <w:bCs/>
          <w:color w:val="000000"/>
          <w:kern w:val="2"/>
          <w:sz w:val="32"/>
          <w:szCs w:val="32"/>
          <w:lang w:val="en-US" w:eastAsia="zh-CN" w:bidi="ar-SA"/>
        </w:rPr>
        <w:t>1.危险区域</w:t>
      </w:r>
      <w:bookmarkEnd w:id="20"/>
    </w:p>
    <w:tbl>
      <w:tblPr>
        <w:tblStyle w:val="16"/>
        <w:tblW w:w="90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3"/>
        <w:gridCol w:w="2608"/>
        <w:gridCol w:w="2325"/>
        <w:gridCol w:w="1245"/>
        <w:gridCol w:w="1005"/>
        <w:gridCol w:w="1005"/>
      </w:tblGrid>
      <w:tr w14:paraId="78D65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6B5DD1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9E21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行政区名称</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23ED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危险区名称</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5380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危险区内人口</w:t>
            </w:r>
            <w:r>
              <w:rPr>
                <w:rFonts w:hint="eastAsia" w:cs="宋体"/>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人</w:t>
            </w:r>
            <w:r>
              <w:rPr>
                <w:rFonts w:hint="eastAsia" w:cs="宋体"/>
                <w:b/>
                <w:bCs/>
                <w:i w:val="0"/>
                <w:iCs w:val="0"/>
                <w:color w:val="000000"/>
                <w:kern w:val="0"/>
                <w:sz w:val="21"/>
                <w:szCs w:val="21"/>
                <w:u w:val="none"/>
                <w:lang w:val="en-US" w:eastAsia="zh-CN" w:bidi="ar"/>
              </w:rPr>
              <w:t>）</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4B7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总户数</w:t>
            </w:r>
            <w:r>
              <w:rPr>
                <w:rFonts w:hint="eastAsia" w:cs="宋体"/>
                <w:b/>
                <w:bCs/>
                <w:i w:val="0"/>
                <w:iCs w:val="0"/>
                <w:color w:val="000000"/>
                <w:kern w:val="0"/>
                <w:sz w:val="21"/>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户</w:t>
            </w:r>
            <w:r>
              <w:rPr>
                <w:rFonts w:hint="eastAsia" w:cs="宋体"/>
                <w:b/>
                <w:bCs/>
                <w:i w:val="0"/>
                <w:iCs w:val="0"/>
                <w:color w:val="000000"/>
                <w:kern w:val="0"/>
                <w:sz w:val="21"/>
                <w:szCs w:val="21"/>
                <w:u w:val="none"/>
                <w:lang w:val="en-US" w:eastAsia="zh-CN" w:bidi="ar"/>
              </w:rPr>
              <w:t>）</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F80F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066C0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10A3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166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上库力街道办事处共建社区共建社区居委会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3411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共建社区居委会危险区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1EE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0943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248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E151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6D2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CE49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上库力街道办事处共建社区第三生产队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0B43A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第三生产队危险区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8EED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E1FA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357B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5F95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6AE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9D43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上库力街道办事处共建社区第四生产队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904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第四生产队危险区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DD38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339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05CF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A76B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77B2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377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4ED5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上库力街道办事处</w:t>
            </w:r>
            <w:r>
              <w:rPr>
                <w:rFonts w:hint="eastAsia" w:cs="宋体"/>
                <w:b w:val="0"/>
                <w:i w:val="0"/>
                <w:iCs w:val="0"/>
                <w:color w:val="000000"/>
                <w:kern w:val="0"/>
                <w:sz w:val="21"/>
                <w:szCs w:val="21"/>
                <w:u w:val="none"/>
                <w:lang w:val="en-US" w:eastAsia="zh-CN" w:bidi="ar"/>
              </w:rPr>
              <w:t>前进村</w:t>
            </w:r>
            <w:r>
              <w:rPr>
                <w:rFonts w:hint="eastAsia" w:ascii="宋体" w:hAnsi="宋体" w:eastAsia="宋体" w:cs="宋体"/>
                <w:b w:val="0"/>
                <w:i w:val="0"/>
                <w:iCs w:val="0"/>
                <w:color w:val="000000"/>
                <w:kern w:val="0"/>
                <w:sz w:val="21"/>
                <w:szCs w:val="21"/>
                <w:u w:val="none"/>
                <w:lang w:val="en-US" w:eastAsia="zh-CN" w:bidi="ar"/>
              </w:rPr>
              <w:t>村委会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8878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前进村村委会危险区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5012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31F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ACCE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F450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4D8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0E03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上库力街道办事处</w:t>
            </w:r>
            <w:r>
              <w:rPr>
                <w:rFonts w:hint="eastAsia" w:cs="宋体"/>
                <w:b w:val="0"/>
                <w:i w:val="0"/>
                <w:iCs w:val="0"/>
                <w:color w:val="000000"/>
                <w:kern w:val="0"/>
                <w:sz w:val="21"/>
                <w:szCs w:val="21"/>
                <w:u w:val="none"/>
                <w:lang w:val="en-US" w:eastAsia="zh-CN" w:bidi="ar"/>
              </w:rPr>
              <w:t>前进村</w:t>
            </w:r>
            <w:r>
              <w:rPr>
                <w:rFonts w:hint="eastAsia" w:ascii="宋体" w:hAnsi="宋体" w:eastAsia="宋体" w:cs="宋体"/>
                <w:b w:val="0"/>
                <w:i w:val="0"/>
                <w:iCs w:val="0"/>
                <w:color w:val="000000"/>
                <w:kern w:val="0"/>
                <w:sz w:val="21"/>
                <w:szCs w:val="21"/>
                <w:u w:val="none"/>
                <w:lang w:val="en-US" w:eastAsia="zh-CN" w:bidi="ar"/>
              </w:rPr>
              <w:t>作业点</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EC84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前进村作业点危险区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917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100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E58A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D070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C18D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8AB80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黑山头镇梁东村噶密山</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238C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噶密山危险区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56C2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65B95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9871C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DA98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49B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9AA5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w:t>
            </w:r>
            <w:r>
              <w:rPr>
                <w:rFonts w:hint="eastAsia" w:cs="宋体"/>
                <w:b w:val="0"/>
                <w:i w:val="0"/>
                <w:iCs w:val="0"/>
                <w:color w:val="000000"/>
                <w:kern w:val="0"/>
                <w:sz w:val="21"/>
                <w:szCs w:val="21"/>
                <w:u w:val="none"/>
                <w:lang w:val="en-US" w:eastAsia="zh-CN" w:bidi="ar"/>
              </w:rPr>
              <w:t>梁东村</w:t>
            </w:r>
            <w:r>
              <w:rPr>
                <w:rFonts w:hint="eastAsia" w:ascii="宋体" w:hAnsi="宋体" w:eastAsia="宋体" w:cs="宋体"/>
                <w:b w:val="0"/>
                <w:i w:val="0"/>
                <w:iCs w:val="0"/>
                <w:color w:val="000000"/>
                <w:kern w:val="0"/>
                <w:sz w:val="21"/>
                <w:szCs w:val="21"/>
                <w:u w:val="none"/>
                <w:lang w:val="en-US" w:eastAsia="zh-CN" w:bidi="ar"/>
              </w:rPr>
              <w:t>村委会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67B20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梁东村村委会危险区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E3D1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6C4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24B5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132A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E26E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9D5C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黑山头镇梁西村小河子</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8D6A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小河子危险区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139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18ED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9AC1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8737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8EF2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0F1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黑山头镇梁西村五卡</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825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五卡危险区2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9E23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C7D1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52AA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9DF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EB7E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BCF4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黑山头镇梁西村五卡</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2935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五卡危险区1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35D4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A03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A4B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448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F59A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DF85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黑山头镇</w:t>
            </w:r>
            <w:r>
              <w:rPr>
                <w:rFonts w:hint="eastAsia" w:cs="宋体"/>
                <w:b w:val="0"/>
                <w:i w:val="0"/>
                <w:iCs w:val="0"/>
                <w:color w:val="000000"/>
                <w:kern w:val="0"/>
                <w:sz w:val="21"/>
                <w:szCs w:val="21"/>
                <w:u w:val="none"/>
                <w:lang w:val="en-US" w:eastAsia="zh-CN" w:bidi="ar"/>
              </w:rPr>
              <w:t>梁西村</w:t>
            </w:r>
            <w:r>
              <w:rPr>
                <w:rFonts w:hint="eastAsia" w:ascii="宋体" w:hAnsi="宋体" w:eastAsia="宋体" w:cs="宋体"/>
                <w:b w:val="0"/>
                <w:i w:val="0"/>
                <w:iCs w:val="0"/>
                <w:color w:val="000000"/>
                <w:kern w:val="0"/>
                <w:sz w:val="21"/>
                <w:szCs w:val="21"/>
                <w:u w:val="none"/>
                <w:lang w:val="en-US" w:eastAsia="zh-CN" w:bidi="ar"/>
              </w:rPr>
              <w:t>村委会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1146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梁西村村委会危险区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8634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303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AF6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E97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E5E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4BFA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3CAF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莫尔道嘎镇兴安社区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07ED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兴安社区危险区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54B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8E6D3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128E6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020C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AF6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AF90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莫尔道嘎镇兴林社区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60AE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兴林社区危险区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E3A8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15555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506E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2380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2349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81D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莫尔道嘎镇龙岩社区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2674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龙岩社区危险区2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E81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346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AD1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65D0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7D7E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5C0B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1EC3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莫尔道嘎镇龙岩社区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F571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龙岩社区危险区1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1649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8D2AE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47A3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BC63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3139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A5D25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莫尔道嘎镇枫林社区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CAE8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枫林社区危险区1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DBA3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577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5039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9900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09A6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5B421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A3D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莫尔道嘎镇圃园社区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D2F8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圃园社区危险区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1E15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BF52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552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38A9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2FC52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609D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莫尔道嘎镇莫尔道嘎林业局生产生活区太平川</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1554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太平川危险区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EFD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D0A5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DEBE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E1D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3905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8A83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莫尔道嘎镇莫尔道嘎林业局生产生活区太平屯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5529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太平屯危险区1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4D92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374C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FF04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3992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C73F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CCAB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莫尔道嘎镇莫尔道嘎林业局生产生活区太平屯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CCA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太平屯危险区2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0A05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675C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2E5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3F65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2CC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F333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莫尔道嘎镇莫尔道嘎林业局生产生活区长青林场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4E545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长青林场危险区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517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1538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B888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D078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DC8F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0A11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三河回族乡苏沁居委会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404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苏沁居委会危险区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72DF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A35A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3FD6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B906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F15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CF16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三河回族乡三河第一社区居委会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30E1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第一社区居委会危险区1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4155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238CF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BF2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D5F7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EB47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3BCB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三河回族乡三河第一社区居委会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4514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第一社区居委会危险区2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CA92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283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B905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DDBE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45F0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DC33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BECE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三河回族乡三河第二社区居委会</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641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第二社区居委会危险区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161D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F0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942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7FEB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E7A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5ED8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恩和俄罗斯族民族乡噶拉湾社区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6C71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噶拉湾社区危险区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AB38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D9F2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0B30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AE2D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8EA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0911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恩和俄罗斯族民族乡恩和农场生活区朝阳生产队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5D4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朝阳生产队危险区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E0DA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A1BB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E06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360B4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3E2F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9CC6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恩和俄罗斯族民族乡恩和农场生活区向阳生产队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491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向阳生产队危险区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3505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2980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91EF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AF9B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4430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DB09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恩和俄罗斯族民族乡恩和农场生活区正阳生产队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6904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正阳生产队危险区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F4F5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220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8B38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5D3A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3AFB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4E4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BEC4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恩和俄罗斯族民族乡恩和农场生活区七卡生产队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D909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七卡生产队危险区1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66AC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91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B8BD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732C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4C3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B67B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7181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恩和俄罗斯族民族乡恩和农场生活区七卡生产队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69D3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七卡生产队危险区2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9EC7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703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B545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9268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82FE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2243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恩和俄罗斯族民族乡恩和农场生活区八卡生产队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C71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八卡生产队危险区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74A5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F46B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B3AB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1330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627C5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B98E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蒙兀室韦苏木天骄社区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228D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天骄社区危险区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E84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2066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4EA0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3E18C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9B3F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30C7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蒙兀室韦苏木室韦牧场生活区临江村</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D867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临江村危险区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D590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539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7E5E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CD45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5A11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178C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蒙兀室韦苏木室韦牧场生活区水磨生产队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8EE1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水磨生产队危险区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93E7C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1653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7A82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848A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6CD6F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E55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奇乾乡奇乾村</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6562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奇乾村危险区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B5E9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D9EA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4A1B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3F8C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FC9AB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A9F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拉布大林农场葫芦头屯（第一生产队）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D849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葫芦头屯（第一生产队）危险区1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9F40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8CCF7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00E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897B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E615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2FE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拉布大林农场葫芦头屯（第一生产队）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AEE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葫芦头屯（第一生产队）危险区2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A638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7A83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F431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5C02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7A01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3A400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拉布大林农场爱林屯（第二生产队）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8A05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爱林屯（第二生产队）危险区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DF95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99A5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02792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9A4A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EF7D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EE1F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拉布大林农场大西山屯（第三生产队）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B4E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大西山屯（第三生产队）危险区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724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8EE60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D0A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FFCA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C821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DE5D0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拉布大林农场振兴屯（第四生产队）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D691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振兴屯（第四生产队）危险区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6627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A690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C24D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366C9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1C97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B31C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拉布大林农场睦邻屯（第六生产队）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E75B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睦邻屯（第六生产队）危险区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753D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7FE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0B8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25F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66EB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E70B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拉布大林农场平原屯（第七生产队）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747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平原屯（第七生产队）危险区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2B2F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11</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E0C1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C9D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112E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AC5A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FBA8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拉布大林农场南山屯（一</w:t>
            </w:r>
            <w:r>
              <w:rPr>
                <w:rFonts w:hint="eastAsia" w:cs="宋体"/>
                <w:b w:val="0"/>
                <w:i w:val="0"/>
                <w:iCs w:val="0"/>
                <w:color w:val="000000"/>
                <w:kern w:val="0"/>
                <w:sz w:val="21"/>
                <w:szCs w:val="21"/>
                <w:u w:val="none"/>
                <w:lang w:val="en-US" w:eastAsia="zh-CN" w:bidi="ar"/>
              </w:rPr>
              <w:t>〇五</w:t>
            </w:r>
            <w:r>
              <w:rPr>
                <w:rFonts w:hint="eastAsia" w:ascii="宋体" w:hAnsi="宋体" w:eastAsia="宋体" w:cs="宋体"/>
                <w:b w:val="0"/>
                <w:i w:val="0"/>
                <w:iCs w:val="0"/>
                <w:color w:val="000000"/>
                <w:kern w:val="0"/>
                <w:sz w:val="21"/>
                <w:szCs w:val="21"/>
                <w:u w:val="none"/>
                <w:lang w:val="en-US" w:eastAsia="zh-CN" w:bidi="ar"/>
              </w:rPr>
              <w:t>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B641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南山屯（一</w:t>
            </w:r>
            <w:r>
              <w:rPr>
                <w:rFonts w:hint="eastAsia" w:cs="宋体"/>
                <w:b w:val="0"/>
                <w:i w:val="0"/>
                <w:iCs w:val="0"/>
                <w:color w:val="000000"/>
                <w:kern w:val="0"/>
                <w:sz w:val="21"/>
                <w:szCs w:val="21"/>
                <w:u w:val="none"/>
                <w:lang w:val="en-US" w:eastAsia="zh-CN" w:bidi="ar"/>
              </w:rPr>
              <w:t>〇五</w:t>
            </w:r>
            <w:r>
              <w:rPr>
                <w:rFonts w:hint="eastAsia" w:ascii="宋体" w:hAnsi="宋体" w:eastAsia="宋体" w:cs="宋体"/>
                <w:b w:val="0"/>
                <w:i w:val="0"/>
                <w:iCs w:val="0"/>
                <w:color w:val="000000"/>
                <w:kern w:val="0"/>
                <w:sz w:val="21"/>
                <w:szCs w:val="21"/>
                <w:u w:val="none"/>
                <w:lang w:val="en-US" w:eastAsia="zh-CN" w:bidi="ar"/>
              </w:rPr>
              <w:t>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EA3D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0E9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B67B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8CC4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4BEF5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556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拉布大林农场南山屯（一</w:t>
            </w:r>
            <w:r>
              <w:rPr>
                <w:rFonts w:hint="eastAsia" w:cs="宋体"/>
                <w:b w:val="0"/>
                <w:i w:val="0"/>
                <w:iCs w:val="0"/>
                <w:color w:val="000000"/>
                <w:kern w:val="0"/>
                <w:sz w:val="21"/>
                <w:szCs w:val="21"/>
                <w:u w:val="none"/>
                <w:lang w:val="en-US" w:eastAsia="zh-CN" w:bidi="ar"/>
              </w:rPr>
              <w:t>〇五</w:t>
            </w:r>
            <w:r>
              <w:rPr>
                <w:rFonts w:hint="eastAsia" w:ascii="宋体" w:hAnsi="宋体" w:eastAsia="宋体" w:cs="宋体"/>
                <w:b w:val="0"/>
                <w:i w:val="0"/>
                <w:iCs w:val="0"/>
                <w:color w:val="000000"/>
                <w:kern w:val="0"/>
                <w:sz w:val="21"/>
                <w:szCs w:val="21"/>
                <w:u w:val="none"/>
                <w:lang w:val="en-US" w:eastAsia="zh-CN" w:bidi="ar"/>
              </w:rPr>
              <w:t>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7B5C7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南山屯（一</w:t>
            </w:r>
            <w:r>
              <w:rPr>
                <w:rFonts w:hint="eastAsia" w:cs="宋体"/>
                <w:b w:val="0"/>
                <w:i w:val="0"/>
                <w:iCs w:val="0"/>
                <w:color w:val="000000"/>
                <w:kern w:val="0"/>
                <w:sz w:val="21"/>
                <w:szCs w:val="21"/>
                <w:u w:val="none"/>
                <w:lang w:val="en-US" w:eastAsia="zh-CN" w:bidi="ar"/>
              </w:rPr>
              <w:t>〇五</w:t>
            </w:r>
            <w:r>
              <w:rPr>
                <w:rFonts w:hint="eastAsia" w:ascii="宋体" w:hAnsi="宋体" w:eastAsia="宋体" w:cs="宋体"/>
                <w:b w:val="0"/>
                <w:i w:val="0"/>
                <w:iCs w:val="0"/>
                <w:color w:val="000000"/>
                <w:kern w:val="0"/>
                <w:sz w:val="21"/>
                <w:szCs w:val="21"/>
                <w:u w:val="none"/>
                <w:lang w:val="en-US" w:eastAsia="zh-CN" w:bidi="ar"/>
              </w:rPr>
              <w:t>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8A11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2BF9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4499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1E37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7728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62E6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拉布大林农场坤库力村（110生产队）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6FC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坤库力村（110生产队）危险区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2000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2205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6FD8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677C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7AE0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E314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拉布大林农场那尔莫格其屯（一二○生产队）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874C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那尔莫格其屯（一二○生产队）危险区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A330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A18F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4934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0A3F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F81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17AA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拉布大林农场新力屯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810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新力屯危险区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312E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116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AF57F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87B8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DA42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F176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D5EE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拉布大林农场良种站村（第五生产队）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B18B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良种站村（第五生产队）危险区1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BC07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B68F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9683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52A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3E0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436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拉布大林农场良种站村（第五生产队）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E0AE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良种站（第五生产队）危险区2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5EA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B16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D84D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CB7E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38D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A44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三河金马农牧场下护林屯（五队）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D628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下护林屯（五队）危险区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2489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40BC9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2143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0958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72A4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6F4D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三河金马农牧场上户林屯六队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350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上护林屯六队危险区1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7CFE0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110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435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7375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D0D1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ADD5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6504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三河金马农牧场上户林屯六队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2C64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上护林队六队危险区2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13A6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179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437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05EC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3874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10A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35A8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三河金马农牧场好尔基屯（第七生产队）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8F29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好尔基屯（第七生产队）危险区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4E2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29D3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6726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633C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80D35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A89FE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三河金马农牧场奶牛村（第九生产队）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BDE7D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奶牛村（第九生产队）危险区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5A2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3F3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2880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3E90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F75B8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8847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三河金马农牧场北山屯（第八生产队）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94BA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北山屯（第八生产队）危险区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084D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6861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21A4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08B9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D4305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0469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三河金马农牧场其洛图屯（第十生产队）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CAB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其洛图屯（第十生产队）危险区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D7E4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B6C61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7CDBC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D870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83D0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0DFE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三河金马农牧场得尔布屯（第十一生产队）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BEE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得尔布屯（第十一生产队）危险区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C4BB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0DE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93D9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364E9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1F16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4732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三河金马农牧场西地营子屯（第十二生产队）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B928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西地营子屯（第十二生产队）危险区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8B3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D4F2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6792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09D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D9E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44F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三河金马农牧场第一生产队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E127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第一生产队危险区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D4F0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1AE9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30D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21FC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A82E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76B5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三河金马农牧场第三生产队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4010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第三生产队危险区2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9D18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A9D9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C198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4F5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4C7A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B407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三河金马农牧场第三生产队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B0CA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第三生产队危险区1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83B6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216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6B89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49B1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A9EB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8AA1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C52B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三河金马农牧场第四生产队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2483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第四生产队危险区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72A2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E345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C78C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BD8C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85A33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D65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上库力农场新库力屯（第一生产队）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BEA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新库力屯（第一生产队）危险区1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9032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2D9E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DCC5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E9C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281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760E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上库力农场新库力屯（第一生产队）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72F1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新库力屯（第一生产队）危险区2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52A3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A9B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4E6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05D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AE006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E2B64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上库力农场白音扎拉噶屯（第二生产队）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7168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白音扎拉噶屯（第二生产队）危险区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8968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D65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51B94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5E25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20439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7C66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上库力农场青年沟屯（第五生产队）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36D3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青年沟屯（第五生产队）危险区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39927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CE4F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EFA30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262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990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7F62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上库力农场小库力屯（第七生产队）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3C2E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小库力屯（第七生产队）危险区2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2F5B9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1B74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8D7E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08428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D693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6E77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上库力农场小库力屯（第七生产队）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8591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小库力屯（第七生产队）危险区1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5437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E7D2D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0564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3A141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33B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727B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上库力农场小乌尔根屯（第八生产队）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AADE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小乌尔根屯（第八生产队）危险区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8B48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134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6C40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20C3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5C710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6BC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0947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上库力农场育良屯（第六生产队）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AF8C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育良屯（第六生产队）危险区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86DF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9A2C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84304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6251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E91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72</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4929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上库力农场伊根队</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BE2B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伊根队危险区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64D3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9C929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9FEB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B5FD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4924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73</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C8C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苏沁牧场机耕屯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7FC4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机耕屯危险区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3F8A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690B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B612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4363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84A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74</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AC1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苏沁牧场建设屯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0D71D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建设屯危险区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669E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1B1D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58</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7287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C43F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851D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75</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0DEE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苏沁牧场团结屯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ADF0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团结屯危险区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ACDE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2DE9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F383F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23752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F8D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76</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AE28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苏沁牧场永胜屯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596D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永胜屯危险区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2A4E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475F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1E0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6D52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017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77</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A59C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苏沁牧场红旗屯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E13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红旗屯危险区1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796F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129</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33560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44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EBFD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77DEA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A2AF5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78</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EBF9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苏沁牧场红旗屯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67EF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红旗屯危险区2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8AA8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197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FA2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67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7A2B8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6C53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5C2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79</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84A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苏沁牧场泉山子屯</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5BAD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泉山子屯危险区</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10B0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35</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F157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12</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3CBC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2310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A3A8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80</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3B5B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苏沁牧场苏沁牧场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F11E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苏沁牧场危险区1</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7525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194</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3B37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70</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8B26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r w14:paraId="177E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8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A2816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81</w:t>
            </w:r>
          </w:p>
        </w:tc>
        <w:tc>
          <w:tcPr>
            <w:tcW w:w="260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05A2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苏沁牧场苏沁牧场</w:t>
            </w:r>
          </w:p>
        </w:tc>
        <w:tc>
          <w:tcPr>
            <w:tcW w:w="232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CE81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苏沁牧场危险区2</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622C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287</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66D5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sz w:val="21"/>
                <w:szCs w:val="21"/>
                <w:u w:val="none"/>
              </w:rPr>
            </w:pPr>
            <w:r>
              <w:rPr>
                <w:rFonts w:hint="eastAsia" w:ascii="宋体" w:hAnsi="宋体" w:eastAsia="宋体" w:cs="宋体"/>
                <w:b w:val="0"/>
                <w:i w:val="0"/>
                <w:iCs w:val="0"/>
                <w:color w:val="000000"/>
                <w:kern w:val="0"/>
                <w:sz w:val="21"/>
                <w:szCs w:val="21"/>
                <w:u w:val="none"/>
                <w:lang w:val="en-US" w:eastAsia="zh-CN" w:bidi="ar"/>
              </w:rPr>
              <w:t>103</w:t>
            </w:r>
          </w:p>
        </w:tc>
        <w:tc>
          <w:tcPr>
            <w:tcW w:w="10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7418E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宋体" w:hAnsi="宋体" w:eastAsia="宋体" w:cs="宋体"/>
                <w:b w:val="0"/>
                <w:i w:val="0"/>
                <w:iCs w:val="0"/>
                <w:color w:val="000000"/>
                <w:kern w:val="0"/>
                <w:sz w:val="21"/>
                <w:szCs w:val="21"/>
                <w:u w:val="none"/>
                <w:lang w:val="en-US" w:eastAsia="zh-CN" w:bidi="ar"/>
              </w:rPr>
            </w:pPr>
          </w:p>
        </w:tc>
      </w:tr>
    </w:tbl>
    <w:p w14:paraId="145229A5">
      <w:pPr>
        <w:pStyle w:val="2"/>
        <w:pageBreakBefore w:val="0"/>
        <w:kinsoku/>
        <w:wordWrap/>
        <w:autoSpaceDE/>
        <w:autoSpaceDN/>
        <w:bidi w:val="0"/>
        <w:adjustRightInd/>
        <w:snapToGrid/>
        <w:spacing w:line="600" w:lineRule="atLeast"/>
        <w:jc w:val="center"/>
        <w:rPr>
          <w:rFonts w:hint="eastAsia" w:ascii="仿宋_GB2312" w:hAnsi="仿宋_GB2312" w:eastAsia="仿宋_GB2312" w:cs="仿宋_GB2312"/>
          <w:b/>
          <w:bCs/>
          <w:sz w:val="32"/>
          <w:szCs w:val="32"/>
          <w:lang w:val="en-US" w:eastAsia="zh-CN"/>
        </w:rPr>
      </w:pPr>
      <w:bookmarkStart w:id="21" w:name="_Toc2705"/>
      <w:r>
        <w:rPr>
          <w:rFonts w:hint="eastAsia" w:ascii="仿宋_GB2312" w:hAnsi="仿宋_GB2312" w:eastAsia="仿宋_GB2312" w:cs="仿宋_GB2312"/>
          <w:b/>
          <w:bCs/>
          <w:sz w:val="32"/>
          <w:szCs w:val="32"/>
          <w:lang w:val="en-US" w:eastAsia="zh-CN"/>
        </w:rPr>
        <w:t>2.安置区域</w:t>
      </w:r>
      <w:bookmarkEnd w:id="21"/>
    </w:p>
    <w:tbl>
      <w:tblPr>
        <w:tblStyle w:val="16"/>
        <w:tblW w:w="90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3219"/>
        <w:gridCol w:w="1416"/>
        <w:gridCol w:w="3690"/>
      </w:tblGrid>
      <w:tr w14:paraId="6F20C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6C09D92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序号</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572D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安置点名称</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21FB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地址</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2DC6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备注</w:t>
            </w:r>
          </w:p>
        </w:tc>
      </w:tr>
      <w:tr w14:paraId="07CE1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994C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6A069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爱林屯（第二生产队）安置点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A31B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D834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10A44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B70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58C5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八卡生产队安置点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984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1D2EE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215B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1D37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49F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白音扎拉噶屯（第二生产队）安置点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445A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E637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1EAE7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F32F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E3E25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北山屯（第八生产队）安置点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E083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9EB8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579AF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141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FC439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朝阳生产队安置点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86F4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41E2D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445D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A82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8341A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大西山屯（第三生产队）安置点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A78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F950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A47E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619C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66A4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得尔布屯（第十一生产队）安置点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DA10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204F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D2D9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5467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833B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第二社区居委会安置点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D310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A552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01E71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F9703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E0DD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第三生产队安置点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99999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7108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394D1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C36F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8A6D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第三生产队安置点1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71F9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7AF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41098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DD5B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8C4D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第三生产队安置点2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A841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7250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3244E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9440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3BD8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第四生产队安置点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34B82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A28B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0C7D0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D29B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E91D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第四生产队安置点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B287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BB55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4F677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6337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4DB2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第一社区居委会安置点1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924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E380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20784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9857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07CD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第一生产队安置点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A9B7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CA1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1BD6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28DF4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60DC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枫林社区安置点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9C9F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16B7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572DC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1F8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E088C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噶拉湾社区安置点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DFA0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0D9C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A1A9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3C5D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4D7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噶密山安置点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696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5232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581A2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29F28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19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2262C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共建社区居委会安置点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96CB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119E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439E9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6294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32C7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好尔基屯（第七生产队）安置点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7AC0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634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CBB7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BE1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7BB3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红旗屯安置点1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1CE5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1E23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467FA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E179C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9B89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红旗屯安置点2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8366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西侧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160C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6EF57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90C1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7529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葫芦头屯（第一生产队）安置点1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F5383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AEBB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沿村内道路向村西侧开阔地转移</w:t>
            </w:r>
          </w:p>
        </w:tc>
      </w:tr>
      <w:tr w14:paraId="6B37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7687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6DCF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葫芦头屯（第一生产队）安置点2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932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CE9E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位于村落西南侧，地势较高、平坦开阔，地质条件良好，能够容纳转移人口</w:t>
            </w:r>
          </w:p>
        </w:tc>
      </w:tr>
      <w:tr w14:paraId="272E2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3F40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1E75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机耕屯安置点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83D5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6FA9A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位于村落东南侧，地势较高、平坦开阔，地质条件良好，能够容纳转移人口</w:t>
            </w:r>
          </w:p>
        </w:tc>
      </w:tr>
      <w:tr w14:paraId="2628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CBFC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BC8E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建设屯安置点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1A0D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C711A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68C0E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FFE7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D23B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坤库力村（110生产队）安置点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912F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A9E3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3B7EC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9473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4BDC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良种站村（第五生产队）安置点1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978C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4A91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716BE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CB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29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1A23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良种站村（第五生产队）安置点2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BF82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DEF40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688FF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0220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2DCC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梁东村村委会安置点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F6A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82DD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6E9C9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CD32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7B9D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梁西村村委会安置点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3B2F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5126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18A1E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C0BD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1AD9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临江村安置点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661C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FE3A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541F1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2704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1077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龙岩社区安置点1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B848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3C15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0FA46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39AA3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D7B7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龙岩社区安置点2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0B3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16C9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42467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A769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CF93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睦邻屯（第六生产队）安置点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39FD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AD1C5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位于村落东南侧，地势较高、平坦开阔，地质条件良好，能够容纳转移人口</w:t>
            </w:r>
          </w:p>
        </w:tc>
      </w:tr>
      <w:tr w14:paraId="70471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9BE5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7CC57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那尔莫格其屯（一二○生产队）安置点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AAA1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08A4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64BAB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B12DE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E6F9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奶牛村（第九生产队）安置点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4B46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413D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7B73F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586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6ED3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南山屯（一〇五生产队）安置点1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4B00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DE01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2E7EF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193D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39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4736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南山屯（一〇五生产队）安置点2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E90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A579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2C7AD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F3F9B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F734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平原屯（第七生产队）安置点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B726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21D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29C24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F54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82F8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圃园社区安置点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696E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3480B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56EE2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A38B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BF26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七卡生产队安置点1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384B3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5DE2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3574E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7DDD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42878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七卡生产队安置点2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B015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东南侧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6F3E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位于村落东南侧，地势较高、平坦开阔，地质条件良好，能够容纳转移人口</w:t>
            </w:r>
          </w:p>
        </w:tc>
      </w:tr>
      <w:tr w14:paraId="18BDD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08CB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F66D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其洛图屯（第十生产队）安置点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B5D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4B30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23844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23AB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7D6D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奇乾村安置点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FAC3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4A0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1775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6E4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180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前进村村委会安置点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444B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03AC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7E3E4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3FA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5DA6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前进村作业点安置点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69C3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7CEC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1C74B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BB44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3CEC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青年沟屯（第五生产队）安置点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4BB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西北侧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3628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位于村落西北侧，地势较高、平坦开阔，地质条件良好，能够容纳转移人口</w:t>
            </w:r>
          </w:p>
        </w:tc>
      </w:tr>
      <w:tr w14:paraId="1483F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B710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49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C459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泉山子屯安置点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D2EF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1171F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74307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3846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25AB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三河第一社区居委会安置点2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C954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B24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5D22A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12CB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D849B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上护林六队安置点2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FA12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4280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7D289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0ECF1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E38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上护林屯六队安置点1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72EA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DEA5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7AF2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D574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94C0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水磨生产队安置点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6693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ED32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71DF6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8C9F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3E36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苏沁居委会安置点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A2AF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C8E3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7D71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FF3B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F3E4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苏沁牧场安置点1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1E53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692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位于村落西侧，地势较高、平坦开阔，地质条件良好，能够容纳转移人口</w:t>
            </w:r>
          </w:p>
        </w:tc>
      </w:tr>
      <w:tr w14:paraId="58788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0D10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9A0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苏沁牧场安置点2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1172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911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42C8F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30B6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A382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太平川安置点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F873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EACF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49285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13A7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8944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太平屯安置点1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F5F6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北侧</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3E2C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64A22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220B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59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197E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太平屯安置点2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5C3A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68BA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57EE9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24E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50B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天骄社区安置点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B679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4786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11198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5B5E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9E4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团结屯安置点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D6E7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2C0D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2DDDE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434B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B05C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五卡安置点1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5D727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A375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1461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537D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C3D4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五卡安置点2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12D1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2E8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286C1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D27E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C2C51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西地营子屯（第十二生产队）危安置点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1D97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CBE1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7F5B6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79CE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7824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下护林屯（五队）安置点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CEBF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AFF8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5D890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BDE88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614C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向阳生产队安置点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D029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77B8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0B4F6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97C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E1D2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小河子安置点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350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799E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65368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1038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F2D3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小库力屯（第七生产队）安置点1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6EE4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B4CE8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7004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2FBC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69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82CB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小库力屯（第七生产队）危安置点2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6794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89BD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134B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109F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25B2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小乌尔根屯（第八生产队）安置点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5D21C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B203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53520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E39A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7B77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新库力屯（第一生产队）安置点1</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90A9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B02C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3F0F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5B3E4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72</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A682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新库力屯（第一生产队）安置点2</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98E6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4367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位于村落东北侧，地势较高、平坦开阔，地质条件良好，能够容纳转移人口</w:t>
            </w:r>
          </w:p>
        </w:tc>
      </w:tr>
      <w:tr w14:paraId="0F337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584753">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73</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FF7B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新力屯安置点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CE16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F5E65">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2F1BC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F514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74</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FDA5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兴安社区安置点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C298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73960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6BE6F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04BBD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75</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30289">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兴林社区安置点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58AA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DCD9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77C06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18E8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76</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C385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伊根队安置点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4F8AC">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56BF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位于村落北侧，地势较高、平坦开阔，地质条件良好，能够容纳转移人口</w:t>
            </w:r>
          </w:p>
        </w:tc>
      </w:tr>
      <w:tr w14:paraId="3389C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B26AB">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77</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6630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永胜屯安置点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FE185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村西北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D425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位于村落西北侧，地势较高、平坦开阔，地质条件良好，能够容纳转移人口</w:t>
            </w:r>
          </w:p>
        </w:tc>
      </w:tr>
      <w:tr w14:paraId="0FD25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3781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78</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1A3E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育良屯（第六生产队）安置点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89D0D">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39A5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7EEFB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9E767">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79</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4E1DF">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长青林场安置点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A08E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FE972">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位于村落东侧，地势较高、平坦开阔，地质条件良好，能够容纳转移人口</w:t>
            </w:r>
          </w:p>
        </w:tc>
      </w:tr>
      <w:tr w14:paraId="1F239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F1F160">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80</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0DD5E">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振兴屯（第四生产队）安置点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A2804">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村南</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C4518">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位于村落南侧，地势较高、平坦开阔，地质条件良好，能够容纳转移人口</w:t>
            </w:r>
          </w:p>
        </w:tc>
      </w:tr>
      <w:tr w14:paraId="14561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0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7995A">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81</w:t>
            </w:r>
          </w:p>
        </w:tc>
        <w:tc>
          <w:tcPr>
            <w:tcW w:w="321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FA02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正阳生产队安置点</w:t>
            </w:r>
          </w:p>
        </w:tc>
        <w:tc>
          <w:tcPr>
            <w:tcW w:w="1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FA941">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村东北居委会</w:t>
            </w:r>
          </w:p>
        </w:tc>
        <w:tc>
          <w:tcPr>
            <w:tcW w:w="3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C41C6">
            <w:pPr>
              <w:keepNext w:val="0"/>
              <w:keepLines w:val="0"/>
              <w:pageBreakBefore w:val="0"/>
              <w:widowControl/>
              <w:suppressLineNumbers w:val="0"/>
              <w:kinsoku/>
              <w:wordWrap/>
              <w:autoSpaceDE/>
              <w:autoSpaceDN/>
              <w:bidi w:val="0"/>
              <w:adjustRightInd/>
              <w:snapToGrid/>
              <w:spacing w:line="600" w:lineRule="atLeast"/>
              <w:jc w:val="center"/>
              <w:textAlignment w:val="bottom"/>
              <w:rPr>
                <w:rFonts w:hint="eastAsia" w:asciiTheme="majorEastAsia" w:hAnsiTheme="majorEastAsia" w:eastAsiaTheme="majorEastAsia" w:cstheme="majorEastAsia"/>
                <w:b w:val="0"/>
                <w:i w:val="0"/>
                <w:iCs w:val="0"/>
                <w:color w:val="000000"/>
                <w:sz w:val="21"/>
                <w:szCs w:val="21"/>
                <w:u w:val="none"/>
              </w:rPr>
            </w:pPr>
            <w:r>
              <w:rPr>
                <w:rFonts w:hint="eastAsia" w:asciiTheme="majorEastAsia" w:hAnsiTheme="majorEastAsia" w:eastAsiaTheme="majorEastAsia" w:cstheme="majorEastAsia"/>
                <w:b w:val="0"/>
                <w:i w:val="0"/>
                <w:iCs w:val="0"/>
                <w:color w:val="000000"/>
                <w:kern w:val="0"/>
                <w:sz w:val="21"/>
                <w:szCs w:val="21"/>
                <w:u w:val="none"/>
                <w:lang w:val="en-US" w:eastAsia="zh-CN" w:bidi="ar"/>
              </w:rPr>
              <w:t>位于村落东北侧，地势较高、平坦开阔，地质条件良好，能够容纳转移人口</w:t>
            </w:r>
          </w:p>
        </w:tc>
      </w:tr>
    </w:tbl>
    <w:p w14:paraId="42E14E4B">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2" w:name="_Toc18829"/>
      <w:r>
        <w:rPr>
          <w:rFonts w:hint="eastAsia" w:ascii="黑体" w:hAnsi="黑体" w:eastAsia="黑体" w:cs="黑体"/>
          <w:b w:val="0"/>
          <w:bCs w:val="0"/>
          <w:sz w:val="32"/>
          <w:szCs w:val="32"/>
          <w:lang w:val="en-US" w:eastAsia="zh-CN"/>
        </w:rPr>
        <w:t>五、预防与预警</w:t>
      </w:r>
      <w:bookmarkEnd w:id="22"/>
    </w:p>
    <w:p w14:paraId="251D78D1">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3" w:name="_Toc31011"/>
      <w:r>
        <w:rPr>
          <w:rFonts w:hint="eastAsia" w:ascii="楷体_GB2312" w:hAnsi="楷体_GB2312" w:eastAsia="楷体_GB2312" w:cs="楷体_GB2312"/>
          <w:b w:val="0"/>
          <w:bCs w:val="0"/>
          <w:color w:val="000000"/>
          <w:kern w:val="2"/>
          <w:sz w:val="32"/>
          <w:szCs w:val="32"/>
          <w:lang w:val="en-US" w:eastAsia="zh-CN" w:bidi="ar-SA"/>
        </w:rPr>
        <w:t>（一）预警分级</w:t>
      </w:r>
      <w:bookmarkEnd w:id="23"/>
    </w:p>
    <w:p w14:paraId="762E4D29">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预警级别划分为四个级别：Ⅰ级（特别重大）、Ⅱ级（重大）、Ⅲ级（较大）、Ⅳ级（一般），并分别用红色、橙色、黄色和蓝色表示。预警级别与应急响应级别条件相同。</w:t>
      </w:r>
    </w:p>
    <w:p w14:paraId="6E49EF9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预警级别采取会商研判、动态确定的原则，根据汛情可能造成的危害程度和紧急程度，发布、调整和解除预警信息。预警信息包括预警级别、起始时间、可能影响范围、警示事项、应采取的措施和发布机构等。</w:t>
      </w:r>
    </w:p>
    <w:p w14:paraId="1051F50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预警信息的发布、调整和解除要以各级减灾指挥机构的名义，通过广播、电视、信息网络、警报器、宣传车等方式进行。对老、幼、病、残、孕等特殊人群及学校、医院等特殊场所和警报盲区，及时采取有针对性的公告方式。事发地人民政府要根据预警级别做好相应的防范准备。</w:t>
      </w:r>
    </w:p>
    <w:p w14:paraId="7FEB3911">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sz w:val="32"/>
          <w:szCs w:val="32"/>
          <w:lang w:val="en-US" w:eastAsia="zh-CN"/>
        </w:rPr>
      </w:pPr>
      <w:bookmarkStart w:id="24" w:name="_Toc17650"/>
      <w:r>
        <w:rPr>
          <w:rFonts w:hint="eastAsia" w:ascii="楷体_GB2312" w:hAnsi="楷体_GB2312" w:eastAsia="楷体_GB2312" w:cs="楷体_GB2312"/>
          <w:b w:val="0"/>
          <w:bCs w:val="0"/>
          <w:sz w:val="32"/>
          <w:szCs w:val="32"/>
          <w:lang w:val="en-US" w:eastAsia="zh-CN"/>
        </w:rPr>
        <w:t>（二）预防预警信息</w:t>
      </w:r>
      <w:bookmarkEnd w:id="24"/>
    </w:p>
    <w:p w14:paraId="2D32D4ED">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雨情信息</w:t>
      </w:r>
    </w:p>
    <w:p w14:paraId="55621229">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1.定时报送：</w:t>
      </w:r>
      <w:r>
        <w:rPr>
          <w:rFonts w:hint="eastAsia" w:ascii="仿宋_GB2312" w:hAnsi="仿宋_GB2312" w:eastAsia="仿宋_GB2312" w:cs="仿宋_GB2312"/>
          <w:b w:val="0"/>
          <w:bCs w:val="0"/>
          <w:color w:val="000000"/>
          <w:kern w:val="0"/>
          <w:sz w:val="32"/>
          <w:szCs w:val="32"/>
          <w:lang w:val="en-US" w:eastAsia="zh-CN" w:bidi="ar-SA"/>
        </w:rPr>
        <w:t>市气象局汛期每天上午10时向市减灾指挥部办公室提供过去24小时全市气象台站的降水实况和未来48小时降水预报。</w:t>
      </w:r>
    </w:p>
    <w:p w14:paraId="2D648025">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2.滚动报送：</w:t>
      </w:r>
      <w:r>
        <w:rPr>
          <w:rFonts w:hint="eastAsia" w:ascii="仿宋_GB2312" w:hAnsi="仿宋_GB2312" w:eastAsia="仿宋_GB2312" w:cs="仿宋_GB2312"/>
          <w:b w:val="0"/>
          <w:bCs w:val="0"/>
          <w:color w:val="000000"/>
          <w:kern w:val="0"/>
          <w:sz w:val="32"/>
          <w:szCs w:val="32"/>
          <w:lang w:val="en-US" w:eastAsia="zh-CN" w:bidi="ar-SA"/>
        </w:rPr>
        <w:t>当4个以上区域站出现累计降水量超过50毫米时，市气象局滚动播报该区域3小时天气预报。</w:t>
      </w:r>
    </w:p>
    <w:p w14:paraId="1DB73F38">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3.实测报送：</w:t>
      </w:r>
      <w:r>
        <w:rPr>
          <w:rFonts w:hint="eastAsia" w:ascii="仿宋_GB2312" w:hAnsi="仿宋_GB2312" w:eastAsia="仿宋_GB2312" w:cs="仿宋_GB2312"/>
          <w:b w:val="0"/>
          <w:bCs w:val="0"/>
          <w:color w:val="000000"/>
          <w:kern w:val="0"/>
          <w:sz w:val="32"/>
          <w:szCs w:val="32"/>
          <w:lang w:val="en-US" w:eastAsia="zh-CN" w:bidi="ar-SA"/>
        </w:rPr>
        <w:t>当实测降雨量3小时超过50毫米、6小时超过100毫米时，市气象局第一时间报送市减灾指挥部办公室。必要时加密报送频次。</w:t>
      </w:r>
    </w:p>
    <w:p w14:paraId="4438B453">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4.研判报送：</w:t>
      </w:r>
      <w:r>
        <w:rPr>
          <w:rFonts w:hint="eastAsia" w:ascii="仿宋_GB2312" w:hAnsi="仿宋_GB2312" w:eastAsia="仿宋_GB2312" w:cs="仿宋_GB2312"/>
          <w:b w:val="0"/>
          <w:bCs w:val="0"/>
          <w:color w:val="000000"/>
          <w:kern w:val="0"/>
          <w:sz w:val="32"/>
          <w:szCs w:val="32"/>
          <w:lang w:val="en-US" w:eastAsia="zh-CN" w:bidi="ar-SA"/>
        </w:rPr>
        <w:t>当监测研判雨势较大，未来3小时降雨量将超过50毫米时，市气象局主动与市减灾指挥部办公室联系对接。</w:t>
      </w:r>
    </w:p>
    <w:p w14:paraId="109C3E1A">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5.短临报送：</w:t>
      </w:r>
      <w:r>
        <w:rPr>
          <w:rFonts w:hint="eastAsia" w:ascii="仿宋_GB2312" w:hAnsi="仿宋_GB2312" w:eastAsia="仿宋_GB2312" w:cs="仿宋_GB2312"/>
          <w:b w:val="0"/>
          <w:bCs w:val="0"/>
          <w:color w:val="000000"/>
          <w:kern w:val="0"/>
          <w:sz w:val="32"/>
          <w:szCs w:val="32"/>
          <w:lang w:val="en-US" w:eastAsia="zh-CN" w:bidi="ar-SA"/>
        </w:rPr>
        <w:t>在预判有强降雨时，市气象局要制作发布短时临近天气预报，并将有关信息第一时间报送各相关单位。</w:t>
      </w:r>
    </w:p>
    <w:p w14:paraId="5B673D13">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水情信息</w:t>
      </w:r>
    </w:p>
    <w:p w14:paraId="1A95A1FD">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市水利局汛期每天上午9时向市减灾指挥部办公室提供全市重要江河主要水文站点水情信息。</w:t>
      </w:r>
    </w:p>
    <w:p w14:paraId="2CE0579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当江河发生中、小洪水时，每6小时报告一次水情，根据洪水发展过程，开展洪水预报并及时滚动预报；</w:t>
      </w:r>
    </w:p>
    <w:p w14:paraId="438316F1">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当江河发生大洪水时，每3小时报告一次水情，根据洪水发展过程，开展洪水预报并及时滚动预报；</w:t>
      </w:r>
    </w:p>
    <w:p w14:paraId="64B75F57">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当江河发生特大洪水时，每1小时报告一次水情，根据洪水发展过程，开展洪水预报并及时滚动预报；市水利局根据实际情况发布蓝色、黄色、橙色、红色预警。</w:t>
      </w:r>
    </w:p>
    <w:p w14:paraId="5769D1D0">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必要时加密报送频次，当监测研判洪水持续上涨时，市水利局主动与市减灾指挥部办公室联系对接。</w:t>
      </w:r>
    </w:p>
    <w:p w14:paraId="6D307492">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（三）城市内涝信息</w:t>
      </w:r>
    </w:p>
    <w:p w14:paraId="6415ADFF">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级住建及城市管理部门负责城市内涝监测预报，建立城镇内涝防治预警、会商、联动机制，按权限及时向社会发布指令性预警信息。各级减灾指挥机构应按照分级负责原则，组织有关部门确定内涝灾害预警区域、级别，并做好排涝的有关准备工作，必要时报同级党委、政府采取停工、停业、停运、停学等强制管控措施，及时通知或组织低洼地区居民应急避险或避险转移。市住房和城乡建设局在城镇发生严重城市内涝时，第一时间将内涝相关信息报送市减灾指挥部办公室。</w:t>
      </w:r>
    </w:p>
    <w:p w14:paraId="77C06FC0">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河道、河流洪水信息</w:t>
      </w:r>
    </w:p>
    <w:p w14:paraId="149B6669">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当主要河流即将出现洪水时，各级水文部门应按照《水文情报预报规范》要求做好洪水预报工作，及时向减灾指挥机构报告水位、流量的实测情况和洪水走势，为预警提供依据。</w:t>
      </w:r>
    </w:p>
    <w:p w14:paraId="4570AC39">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当主要河流发生警戒水位以上洪水时，由市减灾指挥部向社会公布有关汛情、工情、灾情以及抢险情况等；发生超标准洪水时，所在地的防汛指挥部可依法向社会公布进入紧急防汛期，并在辖区内调用抢险物资、设备、交通运输工具和人力等。</w:t>
      </w:r>
    </w:p>
    <w:p w14:paraId="3C7BD9DA">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水文部门应跟踪分析河流洪水的发展趋势，及时滚动预报最新水情。紧急情况下，水文部门每小时更新一次水情。</w:t>
      </w:r>
    </w:p>
    <w:p w14:paraId="72A5E04D">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（四）山洪、地质灾害信息</w:t>
      </w:r>
    </w:p>
    <w:p w14:paraId="55105C4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凡可能遭受山洪、地质灾害威胁的地方，应根据山洪、地质灾害的成因和特点，主动采取预防和避险措施。水文、气象、自然资源等部门应密切联系，相互配合，实现信息共享，提高预报水平，及时发布预报警报。</w:t>
      </w:r>
    </w:p>
    <w:p w14:paraId="31A6C174">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凡有山洪、地质灾害的地方，应由当地减灾指挥机构组织自然资源、水利、气象等部门编制山洪、地质灾害防御预案，绘制区域内山洪、地质灾害风险图，划分并确定区域内易发生山洪、地质灾害的地点及范围，制订安全转移方案，明确组织机构的设置及职责。</w:t>
      </w:r>
    </w:p>
    <w:p w14:paraId="3A567F9D">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山洪、地质灾害易发区在汛期应坚持24小时值班制度，降雨期间，加密观测、加强巡逻。每个苏木乡镇、嘎查村、自然村屯和相关单位都要落实信号发送员，一旦发现危险征兆，立即向周边群众报警，实现快速转移，并报属地政府和本地减灾指挥机构。</w:t>
      </w:r>
    </w:p>
    <w:p w14:paraId="21D0E097">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5" w:name="_Toc12608"/>
      <w:r>
        <w:rPr>
          <w:rFonts w:hint="eastAsia" w:ascii="黑体" w:hAnsi="黑体" w:eastAsia="黑体" w:cs="黑体"/>
          <w:b w:val="0"/>
          <w:bCs w:val="0"/>
          <w:sz w:val="32"/>
          <w:szCs w:val="32"/>
          <w:lang w:val="en-US" w:eastAsia="zh-CN"/>
        </w:rPr>
        <w:t>六、应急响应</w:t>
      </w:r>
      <w:bookmarkEnd w:id="25"/>
    </w:p>
    <w:p w14:paraId="16F3B103">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6" w:name="_Toc7888"/>
      <w:r>
        <w:rPr>
          <w:rFonts w:hint="eastAsia" w:ascii="楷体_GB2312" w:hAnsi="楷体_GB2312" w:eastAsia="楷体_GB2312" w:cs="楷体_GB2312"/>
          <w:b w:val="0"/>
          <w:bCs w:val="0"/>
          <w:color w:val="000000"/>
          <w:kern w:val="2"/>
          <w:sz w:val="32"/>
          <w:szCs w:val="32"/>
          <w:lang w:val="en-US" w:eastAsia="zh-CN" w:bidi="ar-SA"/>
        </w:rPr>
        <w:t>（一）应急响应的总体要求</w:t>
      </w:r>
      <w:bookmarkEnd w:id="26"/>
    </w:p>
    <w:p w14:paraId="7FF40567">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1.应急响应分类分级</w:t>
      </w:r>
    </w:p>
    <w:p w14:paraId="5525214C">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应急响应从低到高依次分为一般(Ⅳ级）、较大(Ⅲ级）、重大(Ⅱ级）、特别重大(Ⅰ级）四个级别。</w:t>
      </w:r>
    </w:p>
    <w:p w14:paraId="1D1A2BE4">
      <w:pPr>
        <w:pStyle w:val="2"/>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2.应急响应启动程序</w:t>
      </w:r>
    </w:p>
    <w:p w14:paraId="2F245BB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市防办根据气象、水利、住房城乡建设、应急管理等部门的预测预警信息，统筹考虑灾害影响程度、范围和防御能力等，综合会商研判，提出启动应急响应的建议。Ⅰ级应急响应由市防指总指挥签发启动，Ⅱ级应急响应由市防指常务副总指挥签发启动，Ⅲ级应急响应由市防指副总指挥签发启动,Ⅳ级应急响应由市防办主任签发启动。如遇紧急情况，可以先行启动，随后补签。</w:t>
      </w:r>
    </w:p>
    <w:p w14:paraId="2DF51858">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各部门防指根据本级汛情转移民众应急预案的规定程序启动应急响应。</w:t>
      </w:r>
    </w:p>
    <w:p w14:paraId="40B4A2C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当响应条件发生变化时，市防指及时调整响应等级。</w:t>
      </w:r>
    </w:p>
    <w:p w14:paraId="030F052A">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市防指相关部门和各部门防指启动或调整应急响应，应与市防指响应等级相衔接，灾害主要影响地区应急响应等级不得低于市级。</w:t>
      </w:r>
    </w:p>
    <w:p w14:paraId="4F0E8038">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7" w:name="_Toc6562"/>
      <w:r>
        <w:rPr>
          <w:rFonts w:hint="eastAsia" w:ascii="楷体_GB2312" w:hAnsi="楷体_GB2312" w:eastAsia="楷体_GB2312" w:cs="楷体_GB2312"/>
          <w:b w:val="0"/>
          <w:bCs w:val="0"/>
          <w:color w:val="000000"/>
          <w:kern w:val="2"/>
          <w:sz w:val="32"/>
          <w:szCs w:val="32"/>
          <w:lang w:val="en-US" w:eastAsia="zh-CN" w:bidi="ar-SA"/>
        </w:rPr>
        <w:t>（二）应急响应启动条件</w:t>
      </w:r>
      <w:bookmarkEnd w:id="27"/>
    </w:p>
    <w:p w14:paraId="77C12752">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Ⅰ级响应条件</w:t>
      </w:r>
    </w:p>
    <w:p w14:paraId="5FB8F760">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当预测、预报可能发生下列情况之一者，额尔古纳市减灾指挥部会商研判后，视情况启动Ⅰ级响应。</w:t>
      </w:r>
    </w:p>
    <w:p w14:paraId="1D3836D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据气象部门发布，过去48小时我市各苏木、乡、镇人民政府、街道办事处已经出现100毫米以上降雨，且预计未来24小时上述地区仍将出现100毫米以上降雨。</w:t>
      </w:r>
    </w:p>
    <w:p w14:paraId="57738239">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据气象部门预报，预计未来48小时我市各苏木、乡、镇人民政府、街道办事处将出现200毫米以上降雨。</w:t>
      </w:r>
    </w:p>
    <w:p w14:paraId="236C8D26">
      <w:pPr>
        <w:pStyle w:val="5"/>
        <w:keepNext w:val="0"/>
        <w:keepLines w:val="0"/>
        <w:pageBreakBefore w:val="0"/>
        <w:widowControl w:val="0"/>
        <w:kinsoku/>
        <w:wordWrap/>
        <w:overflowPunct/>
        <w:topLinePunct w:val="0"/>
        <w:autoSpaceDE/>
        <w:autoSpaceDN/>
        <w:bidi w:val="0"/>
        <w:adjustRightInd/>
        <w:snapToGrid/>
        <w:spacing w:line="600" w:lineRule="exact"/>
        <w:ind w:left="0" w:leftChars="0"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水利局发布洪水红色预警。</w:t>
      </w:r>
    </w:p>
    <w:p w14:paraId="6D4FAC90">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水文预报或实测河流域有1条或以上主要支流发生20年一遇以上，50年一遇以下的洪水。</w:t>
      </w:r>
    </w:p>
    <w:p w14:paraId="7CFE1DE6">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干流堤防发生重大险情极可能漫溢或决口。</w:t>
      </w:r>
    </w:p>
    <w:p w14:paraId="4FD8EC0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其他需要启动I级响应的条件。</w:t>
      </w:r>
    </w:p>
    <w:p w14:paraId="1C8BC6CE">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Ⅱ级响应条件</w:t>
      </w:r>
    </w:p>
    <w:p w14:paraId="782F599C">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当预测、预报可能发生下列情况之一者，额尔古纳市减灾指挥部会商研判后，视情况启动Ⅱ级响应。</w:t>
      </w:r>
    </w:p>
    <w:p w14:paraId="55923F8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据气象部门发布，过去48小时我市各苏木、乡、镇人民政府、街道办事处已经出现50毫米以上100毫米以下降雨，且</w:t>
      </w:r>
      <w:r>
        <w:rPr>
          <w:rFonts w:hint="eastAsia" w:ascii="仿宋_GB2312" w:hAnsi="仿宋_GB2312" w:eastAsia="仿宋_GB2312" w:cs="仿宋_GB2312"/>
          <w:b w:val="0"/>
          <w:bCs w:val="0"/>
          <w:color w:val="000000"/>
          <w:spacing w:val="-6"/>
          <w:kern w:val="0"/>
          <w:sz w:val="32"/>
          <w:szCs w:val="32"/>
          <w:lang w:val="en-US" w:eastAsia="zh-CN" w:bidi="ar-SA"/>
        </w:rPr>
        <w:t>预计未来24小时上述地区仍将出现50毫米以上100毫米以下降雨。</w:t>
      </w:r>
    </w:p>
    <w:p w14:paraId="047060A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据气象部门预报，预计未来48小时我市各苏木、乡、镇</w:t>
      </w:r>
      <w:r>
        <w:rPr>
          <w:rFonts w:hint="eastAsia" w:ascii="仿宋_GB2312" w:hAnsi="仿宋_GB2312" w:eastAsia="仿宋_GB2312" w:cs="仿宋_GB2312"/>
          <w:b w:val="0"/>
          <w:bCs w:val="0"/>
          <w:color w:val="000000"/>
          <w:spacing w:val="-6"/>
          <w:kern w:val="0"/>
          <w:sz w:val="32"/>
          <w:szCs w:val="32"/>
          <w:lang w:val="en-US" w:eastAsia="zh-CN" w:bidi="ar-SA"/>
        </w:rPr>
        <w:t>人民政府、街道办事处将出现100毫米以上降雨200毫米以下降雨。</w:t>
      </w:r>
    </w:p>
    <w:p w14:paraId="1AD42AB6">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水利局发布洪水橙色预警。</w:t>
      </w:r>
    </w:p>
    <w:p w14:paraId="0BE29A24">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水文预报或实测河流域有1条或以上主要支流发生10年以上，20年一遇以下的洪水。</w:t>
      </w:r>
    </w:p>
    <w:p w14:paraId="07D10FCF">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其他需要启动Ⅱ级响应的条件。</w:t>
      </w:r>
    </w:p>
    <w:p w14:paraId="73CD10E8">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Ⅲ级响应条件</w:t>
      </w:r>
    </w:p>
    <w:p w14:paraId="50ABF3AA">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当预测、预报可能发生下列情况之一者，额尔古纳市减灾指挥部会商研判后，视情况启动Ⅲ级响应。</w:t>
      </w:r>
    </w:p>
    <w:p w14:paraId="475603D8">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据气象部门发布，过去48小时我市各苏木、乡、镇人民政府、街道办事处已经出现20毫米以上50毫米以下降雨，且预计未来24小时上述地区仍将出现20毫米以上50毫米以下降雨。</w:t>
      </w:r>
    </w:p>
    <w:p w14:paraId="41C54D53">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据气象部门预报，预计未来48小时我市各苏木、乡、镇</w:t>
      </w:r>
      <w:r>
        <w:rPr>
          <w:rFonts w:hint="eastAsia" w:ascii="仿宋_GB2312" w:hAnsi="仿宋_GB2312" w:eastAsia="仿宋_GB2312" w:cs="仿宋_GB2312"/>
          <w:b w:val="0"/>
          <w:bCs w:val="0"/>
          <w:color w:val="000000"/>
          <w:spacing w:val="-6"/>
          <w:kern w:val="0"/>
          <w:sz w:val="32"/>
          <w:szCs w:val="32"/>
          <w:lang w:val="en-US" w:eastAsia="zh-CN" w:bidi="ar-SA"/>
        </w:rPr>
        <w:t>人民政府、街道办事处将出现50毫米以上降雨100毫米以下降雨。</w:t>
      </w:r>
    </w:p>
    <w:p w14:paraId="5F5860D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水利局发布洪水黄色预警。</w:t>
      </w:r>
    </w:p>
    <w:p w14:paraId="39EC0E5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水文预报或实测河流域有1条或以上主要支流发生5年以上，10年一遇以下的洪水。</w:t>
      </w:r>
    </w:p>
    <w:p w14:paraId="704D26C7">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其他需要启动III级响应的条件。</w:t>
      </w:r>
    </w:p>
    <w:p w14:paraId="60E1CEBF">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Ⅳ级响应条件</w:t>
      </w:r>
    </w:p>
    <w:p w14:paraId="4EA5C178">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当预测、预报可能发生下列情况之一者，额尔古纳市减灾指挥部会商研判后，视情况启动Ⅳ级响应。</w:t>
      </w:r>
    </w:p>
    <w:p w14:paraId="47C5DE5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据气象部门发布，过去48小时我市各苏木、乡、镇人民政府、街道办事处已经出现20毫米以下降雨，且预计未来24小时上述地区仍将出现20毫米以下降雨。</w:t>
      </w:r>
    </w:p>
    <w:p w14:paraId="3C23B07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据气象部门预报，预计未来48小时我市各苏木、乡、镇人民政府、街道办事处将出现50毫米以下降雨。</w:t>
      </w:r>
    </w:p>
    <w:p w14:paraId="0681267F">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水利局发布洪水蓝色预警。</w:t>
      </w:r>
    </w:p>
    <w:p w14:paraId="42D9783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水文预报或实测河流域有1条或以上主要支流发生5年一遇以下的洪水。</w:t>
      </w:r>
    </w:p>
    <w:p w14:paraId="011E8DF3">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其他需要启动IV级响应的条件。</w:t>
      </w:r>
    </w:p>
    <w:p w14:paraId="1C26F207">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（三）应急响应行动</w:t>
      </w:r>
    </w:p>
    <w:p w14:paraId="6C34B16E">
      <w:pPr>
        <w:pStyle w:val="21"/>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Ⅰ级响应行动</w:t>
      </w:r>
    </w:p>
    <w:p w14:paraId="20E8368F">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市减灾指挥部总指挥和副总指挥在市减灾指挥中心坐镇指挥。市减灾指挥部总指挥组织市防指全体成员和专家会商，滚动研判防汛形势，视频连线有关苏木、乡、镇人民政府、街道办事处，组织动员部署，及时调度指挥。</w:t>
      </w:r>
    </w:p>
    <w:p w14:paraId="36FB2843">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根据需要并报经市委、市政府主要领导同意，宣布进入紧急防汛期。</w:t>
      </w:r>
    </w:p>
    <w:p w14:paraId="2604D724">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市减灾指挥部总指挥或其指定的副总指挥在市减灾指挥中心值班坐镇指挥，市减灾指挥部办公室工作专班在市减灾指挥中心24小时集中办公。</w:t>
      </w:r>
    </w:p>
    <w:p w14:paraId="04410E4A">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根据灾害情况，派出由相关市领导带领的现场指挥部，赶赴现场，指导督促地方做好汛情转移民众工作。</w:t>
      </w:r>
    </w:p>
    <w:p w14:paraId="47FF534D">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市应急管理局应及时调动应急抢险队伍，到达抢险一线；根据灾情情况向受灾地区调拨抢险救灾物资；增加值班人员。</w:t>
      </w:r>
    </w:p>
    <w:p w14:paraId="592BE1E2">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市减灾指挥部成员单位要24小时值班。气象部门做好气象服务；水文部门做好水情监测、洪水预报；财政部门为灾区及时提供资金保障；市应急管理局要及时为灾区紧急调拨应急物资；铁路、交通、民航部门提供运输保障，并按职责做好公路、铁路、桥梁的巡查防护和水毁抢修；卫生部门及时派出医疗卫生专业防治队伍赴灾区协助开展医疗救治和疾病预防控制工作。</w:t>
      </w:r>
    </w:p>
    <w:p w14:paraId="0037313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Ⅱ级响应行动</w:t>
      </w:r>
    </w:p>
    <w:p w14:paraId="7E840A56">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市减灾指挥部总指挥和副总指挥向市减灾指挥中心集结，市减灾指挥部办公室工作专班在市减灾指挥中心集中办公。</w:t>
      </w:r>
    </w:p>
    <w:p w14:paraId="03A03084">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市减灾指挥部常务副总指挥在市减灾指挥中心值班坐镇指挥，组织市防指全体成员和专家会商，滚动研判防汛形势，视频连线有关苏木、乡、镇人民政府、街道办事处，组织动员部署，及时调度指挥。</w:t>
      </w:r>
    </w:p>
    <w:p w14:paraId="55DC45C4">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根据灾害情况，派出由相关市领导带领的现场指挥部，赶赴现场，指导督促地方做好汛情转移民众工作。</w:t>
      </w:r>
    </w:p>
    <w:p w14:paraId="258A863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市应急管理局应及时调动应急抢险队伍，到达抢险一线；根据灾情情况向受灾地区调拨抢险救灾物资；增加值班人员，密切监视汛情的发展变化。</w:t>
      </w:r>
    </w:p>
    <w:p w14:paraId="3B1E28CF">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市减灾指挥部成员单位要24小时值班。气象部门做好气象服务；水文部门做好水情监测、洪水预报；财政部门为灾区及时提供资金保障；市应急管理局要及时为灾区紧急调拨应急物资；铁路、交通、民航部门提供运输保障，并按职责做好公路、铁路、桥梁的巡查防护和水毁抢修；卫生部门及时派出医疗卫生专业防治队伍赴灾区协助开展医疗救治和疾病预防控制工作。</w:t>
      </w:r>
    </w:p>
    <w:p w14:paraId="004CB300">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Ⅲ级响应行动</w:t>
      </w:r>
    </w:p>
    <w:p w14:paraId="7900C7DE">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市减灾指挥部副总指挥组织应急、水利、气象、自然资源、住建、农业农村、宣传等部门会商，视频连线有关苏木、乡、镇人民政府、街道办事处，做出相应工作部署；密切监视汛情发展变化，加强汛情转移民众工作的指导。</w:t>
      </w:r>
    </w:p>
    <w:p w14:paraId="2D119A67">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市减灾指挥部副总指挥在市减灾指挥中心值班。相关单位派员到市防指参与联合值守。</w:t>
      </w:r>
    </w:p>
    <w:p w14:paraId="6B318C76">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市应急管理局应及时调动应急抢险队伍，到达抢险一线；根据灾情情况向受灾地区调拨抢险救灾物资；增加值班人员，密切监视汛情、旱情和工情的发展变化；定期在相关媒体上报道汛情、旱情及抗洪抢险、抗旱情况。</w:t>
      </w:r>
    </w:p>
    <w:p w14:paraId="022656FA">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市应急管理局应及时调动应急抢险队伍，到达抢险一线；根据灾情情况向受灾地区调拨抢险救灾物资；增加值班人员，密切监视汛情的发展变化。</w:t>
      </w:r>
    </w:p>
    <w:p w14:paraId="004B0B0C">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市减灾指挥部成员单位要24小时值班。气象部门做好气象服务；水文部门做好水情监测、洪水预报；财政部门为灾区及时提供资金保障；市应急管理局要及时为灾区紧急调拨应急物资；铁路、交通、民航部门提供运输保障，并按职责做好公路、铁路、桥梁的巡查防护和水毁抢修；卫生部门及时派出医疗卫生专业防治队伍赴灾区协助开展医疗救治和疾病预防控制工作。</w:t>
      </w:r>
    </w:p>
    <w:p w14:paraId="6AC5C827">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Ⅳ级响应行动</w:t>
      </w:r>
    </w:p>
    <w:p w14:paraId="35B109A5">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市减灾指挥部办公室主任组织应急、水利、气象、自然资源、住建、农业农村等部门会商，相关单位派员到市减灾指挥部办公室参与联合值守。视频连线有苏木、乡、镇人民政府、街道办事处，做出相应工作部署；密切监视汛情发展变化，加强汛情转移民众工作的指导。</w:t>
      </w:r>
    </w:p>
    <w:p w14:paraId="67DDD41C">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市减灾指挥部发汛情转移民众工作通知，督促地方党委和政府及市减灾指挥部按照通知要求抓好贯彻落实，并将落实情况报市减灾指挥部。</w:t>
      </w:r>
    </w:p>
    <w:p w14:paraId="42BF4F66">
      <w:pPr>
        <w:pStyle w:val="5"/>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b/>
          <w:bCs/>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相关苏木乡镇减灾指挥机构加强汛情监测，做好洪水预测预报，并将情况及时报市减灾指挥部办公室。</w:t>
      </w:r>
    </w:p>
    <w:p w14:paraId="345254DE">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8" w:name="_Toc3542"/>
      <w:bookmarkStart w:id="29" w:name="_Toc9221"/>
      <w:r>
        <w:rPr>
          <w:rFonts w:hint="eastAsia" w:ascii="黑体" w:hAnsi="黑体" w:eastAsia="黑体" w:cs="黑体"/>
          <w:b w:val="0"/>
          <w:bCs w:val="0"/>
          <w:sz w:val="32"/>
          <w:szCs w:val="32"/>
          <w:lang w:val="en-US" w:eastAsia="zh-CN"/>
        </w:rPr>
        <w:t>七、转移安置</w:t>
      </w:r>
      <w:bookmarkEnd w:id="28"/>
      <w:bookmarkEnd w:id="29"/>
    </w:p>
    <w:p w14:paraId="62C33061">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bookmarkStart w:id="30" w:name="_Toc13741"/>
      <w:r>
        <w:rPr>
          <w:rFonts w:hint="eastAsia" w:ascii="楷体_GB2312" w:hAnsi="楷体_GB2312" w:eastAsia="楷体_GB2312" w:cs="楷体_GB2312"/>
          <w:b w:val="0"/>
          <w:bCs w:val="0"/>
          <w:color w:val="000000"/>
          <w:kern w:val="2"/>
          <w:sz w:val="32"/>
          <w:szCs w:val="32"/>
          <w:lang w:val="en-US" w:eastAsia="zh-CN" w:bidi="ar-SA"/>
        </w:rPr>
        <w:t>（一）</w:t>
      </w:r>
      <w:r>
        <w:rPr>
          <w:rFonts w:hint="eastAsia" w:ascii="楷体_GB2312" w:hAnsi="楷体_GB2312" w:eastAsia="楷体_GB2312" w:cs="楷体_GB2312"/>
          <w:b w:val="0"/>
          <w:bCs w:val="0"/>
          <w:color w:val="000000"/>
          <w:kern w:val="2"/>
          <w:sz w:val="32"/>
          <w:szCs w:val="32"/>
          <w:lang w:val="zh-CN" w:eastAsia="zh-CN" w:bidi="ar-SA"/>
        </w:rPr>
        <w:t>转移安置原则</w:t>
      </w:r>
      <w:bookmarkEnd w:id="30"/>
    </w:p>
    <w:p w14:paraId="3C79A6B0">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zh-CN" w:eastAsia="zh-CN" w:bidi="ar-SA"/>
        </w:rPr>
      </w:pPr>
      <w:r>
        <w:rPr>
          <w:rFonts w:hint="eastAsia" w:ascii="仿宋_GB2312" w:hAnsi="仿宋_GB2312" w:eastAsia="仿宋_GB2312" w:cs="仿宋_GB2312"/>
          <w:b w:val="0"/>
          <w:bCs w:val="0"/>
          <w:color w:val="000000"/>
          <w:kern w:val="0"/>
          <w:sz w:val="32"/>
          <w:szCs w:val="32"/>
          <w:lang w:val="zh-CN" w:eastAsia="zh-CN" w:bidi="ar-SA"/>
        </w:rPr>
        <w:t>转移遵循先人员后财产，先老弱病残后一般人员，先低洼处后较高处人员的原则，以集体、有组织转移为主。转移责任人有权对不服从转移命令的人员采取强制转移措施。</w:t>
      </w:r>
    </w:p>
    <w:p w14:paraId="25BFB0C6">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r>
        <w:rPr>
          <w:rFonts w:hint="eastAsia" w:ascii="楷体_GB2312" w:hAnsi="楷体_GB2312" w:eastAsia="楷体_GB2312" w:cs="楷体_GB2312"/>
          <w:b w:val="0"/>
          <w:bCs w:val="0"/>
          <w:color w:val="000000"/>
          <w:kern w:val="2"/>
          <w:sz w:val="32"/>
          <w:szCs w:val="32"/>
          <w:lang w:val="en-US" w:eastAsia="zh-CN" w:bidi="ar-SA"/>
        </w:rPr>
        <w:t>（二）</w:t>
      </w:r>
      <w:r>
        <w:rPr>
          <w:rFonts w:hint="eastAsia" w:ascii="楷体_GB2312" w:hAnsi="楷体_GB2312" w:eastAsia="楷体_GB2312" w:cs="楷体_GB2312"/>
          <w:b w:val="0"/>
          <w:bCs w:val="0"/>
          <w:color w:val="000000"/>
          <w:kern w:val="2"/>
          <w:sz w:val="32"/>
          <w:szCs w:val="32"/>
          <w:lang w:val="zh-CN" w:eastAsia="zh-CN" w:bidi="ar-SA"/>
        </w:rPr>
        <w:t>转移安置前准备</w:t>
      </w:r>
    </w:p>
    <w:p w14:paraId="3DA7E273">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转移安置前应提前组织各部门负责人员，到达安全区，并连夜组织人员进行帐篷搭建、供水、食物补给及卫生防疫的工作。保障转移安置前安全区基本能够达到安置要求。</w:t>
      </w:r>
    </w:p>
    <w:p w14:paraId="0A99CBBA">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bookmarkStart w:id="31" w:name="_Toc25069"/>
      <w:r>
        <w:rPr>
          <w:rFonts w:hint="eastAsia" w:ascii="楷体_GB2312" w:hAnsi="楷体_GB2312" w:eastAsia="楷体_GB2312" w:cs="楷体_GB2312"/>
          <w:b w:val="0"/>
          <w:bCs w:val="0"/>
          <w:color w:val="000000"/>
          <w:kern w:val="2"/>
          <w:sz w:val="32"/>
          <w:szCs w:val="32"/>
          <w:lang w:val="en-US" w:eastAsia="zh-CN" w:bidi="ar-SA"/>
        </w:rPr>
        <w:t>（三）</w:t>
      </w:r>
      <w:r>
        <w:rPr>
          <w:rFonts w:hint="eastAsia" w:ascii="楷体_GB2312" w:hAnsi="楷体_GB2312" w:eastAsia="楷体_GB2312" w:cs="楷体_GB2312"/>
          <w:b w:val="0"/>
          <w:bCs w:val="0"/>
          <w:color w:val="000000"/>
          <w:kern w:val="2"/>
          <w:sz w:val="32"/>
          <w:szCs w:val="32"/>
          <w:lang w:val="zh-CN" w:eastAsia="zh-CN" w:bidi="ar-SA"/>
        </w:rPr>
        <w:t>转移安置路线</w:t>
      </w:r>
      <w:bookmarkEnd w:id="31"/>
    </w:p>
    <w:p w14:paraId="61E3D6B2">
      <w:pPr>
        <w:pStyle w:val="21"/>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zh-CN" w:eastAsia="zh-CN" w:bidi="ar-SA"/>
        </w:rPr>
      </w:pPr>
      <w:r>
        <w:rPr>
          <w:rFonts w:hint="eastAsia" w:ascii="仿宋_GB2312" w:hAnsi="仿宋_GB2312" w:eastAsia="仿宋_GB2312" w:cs="仿宋_GB2312"/>
          <w:b w:val="0"/>
          <w:bCs w:val="0"/>
          <w:color w:val="000000"/>
          <w:kern w:val="0"/>
          <w:sz w:val="32"/>
          <w:szCs w:val="32"/>
          <w:lang w:val="zh-CN" w:eastAsia="zh-CN" w:bidi="ar-SA"/>
        </w:rPr>
        <w:t>转移安置路线的确定遵循就近、安全的原则。事先拟定好转移路线，必须经常检查转移路线是否出现异常，如有异常应及时修补或确定新的转移线路。转移路线宜避开跨河、跨溪或易滑坡等地带。避难路线要保证避难过程的安全，在途中不会遇到洪水的袭击和意外事故的伤亡；避难路线不宜太远；避难路线应是避难者所熟悉的。</w:t>
      </w:r>
    </w:p>
    <w:p w14:paraId="5D99A204">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bookmarkStart w:id="32" w:name="_Toc23335"/>
      <w:r>
        <w:rPr>
          <w:rFonts w:hint="eastAsia" w:ascii="楷体_GB2312" w:hAnsi="楷体_GB2312" w:eastAsia="楷体_GB2312" w:cs="楷体_GB2312"/>
          <w:b w:val="0"/>
          <w:bCs w:val="0"/>
          <w:color w:val="000000"/>
          <w:kern w:val="2"/>
          <w:sz w:val="32"/>
          <w:szCs w:val="32"/>
          <w:lang w:val="en-US" w:eastAsia="zh-CN" w:bidi="ar-SA"/>
        </w:rPr>
        <w:t>（四）</w:t>
      </w:r>
      <w:r>
        <w:rPr>
          <w:rFonts w:hint="eastAsia" w:ascii="楷体_GB2312" w:hAnsi="楷体_GB2312" w:eastAsia="楷体_GB2312" w:cs="楷体_GB2312"/>
          <w:b w:val="0"/>
          <w:bCs w:val="0"/>
          <w:color w:val="000000"/>
          <w:kern w:val="2"/>
          <w:sz w:val="32"/>
          <w:szCs w:val="32"/>
          <w:lang w:val="zh-CN" w:eastAsia="zh-CN" w:bidi="ar-SA"/>
        </w:rPr>
        <w:t>转移安置方式</w:t>
      </w:r>
      <w:bookmarkEnd w:id="32"/>
    </w:p>
    <w:p w14:paraId="3F935520">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bCs/>
          <w:lang w:val="zh-CN" w:eastAsia="zh-CN"/>
        </w:rPr>
      </w:pPr>
      <w:r>
        <w:rPr>
          <w:rFonts w:hint="eastAsia" w:ascii="仿宋_GB2312" w:hAnsi="仿宋_GB2312" w:eastAsia="仿宋_GB2312" w:cs="仿宋_GB2312"/>
          <w:b w:val="0"/>
          <w:bCs w:val="0"/>
          <w:color w:val="000000"/>
          <w:kern w:val="0"/>
          <w:sz w:val="32"/>
          <w:szCs w:val="32"/>
          <w:lang w:val="zh-CN" w:eastAsia="zh-CN" w:bidi="ar-SA"/>
        </w:rPr>
        <w:t>安置地点一般因地制宜地采取就近安置、集中安置和分散安置相结合的原则。安置方式可采取投亲靠友、借住公房、搭建帐篷等。搭篷地点应选择在安全区内。汛前制作明白卡，将转移路线、时机、安置地点、责任人等有关信息发放到每户。制作标识牌，标明安全区、危险区、转移路线、安置地点等。并制定当交通、通讯中断时，镇办事处、村组躲灾避难的应急措施。转移时要严格落实责任制，由村干部或镇干部分片包干负责，并向群众解释清楚。</w:t>
      </w:r>
    </w:p>
    <w:p w14:paraId="742ED13D">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zh-CN" w:eastAsia="zh-CN" w:bidi="ar-SA"/>
        </w:rPr>
      </w:pPr>
      <w:bookmarkStart w:id="33" w:name="_Toc11627"/>
      <w:r>
        <w:rPr>
          <w:rFonts w:hint="eastAsia" w:ascii="楷体_GB2312" w:hAnsi="楷体_GB2312" w:eastAsia="楷体_GB2312" w:cs="楷体_GB2312"/>
          <w:b w:val="0"/>
          <w:bCs w:val="0"/>
          <w:color w:val="000000"/>
          <w:kern w:val="2"/>
          <w:sz w:val="32"/>
          <w:szCs w:val="32"/>
          <w:lang w:val="en-US" w:eastAsia="zh-CN" w:bidi="ar-SA"/>
        </w:rPr>
        <w:t>（五）</w:t>
      </w:r>
      <w:r>
        <w:rPr>
          <w:rFonts w:hint="eastAsia" w:ascii="楷体_GB2312" w:hAnsi="楷体_GB2312" w:eastAsia="楷体_GB2312" w:cs="楷体_GB2312"/>
          <w:b w:val="0"/>
          <w:bCs w:val="0"/>
          <w:color w:val="000000"/>
          <w:kern w:val="2"/>
          <w:sz w:val="32"/>
          <w:szCs w:val="32"/>
          <w:lang w:val="zh-CN" w:eastAsia="zh-CN" w:bidi="ar-SA"/>
        </w:rPr>
        <w:t>制定特殊情况应急措施</w:t>
      </w:r>
      <w:bookmarkEnd w:id="33"/>
    </w:p>
    <w:p w14:paraId="27D9D0BD">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zh-CN" w:eastAsia="zh-CN" w:bidi="ar-SA"/>
        </w:rPr>
      </w:pPr>
      <w:r>
        <w:rPr>
          <w:rFonts w:hint="eastAsia" w:ascii="仿宋_GB2312" w:hAnsi="仿宋_GB2312" w:eastAsia="仿宋_GB2312" w:cs="仿宋_GB2312"/>
          <w:b w:val="0"/>
          <w:bCs w:val="0"/>
          <w:color w:val="000000"/>
          <w:kern w:val="0"/>
          <w:sz w:val="32"/>
          <w:szCs w:val="32"/>
          <w:lang w:val="zh-CN" w:eastAsia="zh-CN" w:bidi="ar-SA"/>
        </w:rPr>
        <w:t>转移安置过程中出现交通、通讯中断等特殊情况时，灾区苏木乡镇办各村组、社区应自救互救、不等不靠，及时采取防灾避灾措施。由苏木乡镇办和村干部分头入户通知易发灾害点村民，尤其是夜间可能发生相关灾害时，要保证信息传递的可靠性，做到不漏一户，不漏一人。借助无线广播、铜锣、哨子等设备引导转移人员到安置地点。在制定的转移路线交通中断的情况下，应选择向溪河沟谷两侧山坡或滑动体的两侧方向转移到就近较高地点。对于特殊人群的转移安置采取专项措施，并派专人负责，确保无一人掉队。</w:t>
      </w:r>
    </w:p>
    <w:p w14:paraId="3BDC0E01">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转移安置过程中如出现人员冒险返回险区域时，应由公安部门人员组织劝阻，如经判断仍有执意返回意图的，由公安部门采取强制措施进行管控。</w:t>
      </w:r>
    </w:p>
    <w:p w14:paraId="40DBE8B9">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34" w:name="_Toc23667"/>
      <w:r>
        <w:rPr>
          <w:rFonts w:hint="eastAsia" w:ascii="黑体" w:hAnsi="黑体" w:eastAsia="黑体" w:cs="黑体"/>
          <w:b w:val="0"/>
          <w:bCs w:val="0"/>
          <w:sz w:val="32"/>
          <w:szCs w:val="32"/>
          <w:lang w:val="en-US" w:eastAsia="zh-CN"/>
        </w:rPr>
        <w:t>八、应急保障</w:t>
      </w:r>
      <w:bookmarkEnd w:id="34"/>
    </w:p>
    <w:p w14:paraId="70F51081">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CN" w:eastAsia="zh-CN" w:bidi="ar-SA"/>
        </w:rPr>
        <w:t>市应急管理局负责协助灾情发生地苏木乡镇办政府组织对受灾群众进行生活救助。应及时调配救灾款物，协调组织安置受灾群众，做好受灾群众临时生活安排，保证灾民有饭吃、有衣穿、有房住，切实解决受灾群众的基本生活问题。市卫生健康委员会负责调配医疗技术力量，抢救受伤人员，对污染源进行消毒处理，对灾区重大疫情、病情实施紧急处理，防止疫病的传播、蔓延。</w:t>
      </w:r>
    </w:p>
    <w:p w14:paraId="08107C87">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相关部门按照职责分工和相关预案规定，做好应对灾害的人力、物力、财力保障，做好安全保卫、交通运输、医疗卫生、通信等工作，确保应急处置和救援工作的需要，确保灾区群众的基本生活需要，保障恢复重建工作的顺利进行。</w:t>
      </w:r>
    </w:p>
    <w:p w14:paraId="7E11F6FC">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r>
        <w:rPr>
          <w:rFonts w:hint="eastAsia" w:ascii="楷体_GB2312" w:hAnsi="楷体_GB2312" w:eastAsia="楷体_GB2312" w:cs="楷体_GB2312"/>
          <w:b w:val="0"/>
          <w:bCs w:val="0"/>
          <w:color w:val="000000"/>
          <w:kern w:val="2"/>
          <w:sz w:val="32"/>
          <w:szCs w:val="32"/>
          <w:lang w:val="en-US" w:eastAsia="zh-CN" w:bidi="ar-SA"/>
        </w:rPr>
        <w:t>（一）人力保障</w:t>
      </w:r>
    </w:p>
    <w:p w14:paraId="0CC9841E">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各苏木乡镇（办）人民政府或相关应急指挥机构应当广泛动员、调动社会团体、企事业单位、志愿者等社会力量，建立横向到边、纵向到底的灾害预警信息传播及应急救援队伍，开展灾害预警信息传播、灾害防御及现场应急救援工作；在应对工作中可以根据需要组织民兵、预备役部队、大中型企事业单位以及志愿者等应急救援队伍，对灾害进行处置。</w:t>
      </w:r>
    </w:p>
    <w:p w14:paraId="4A9EE0CF">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5" w:name="_Toc26243"/>
      <w:r>
        <w:rPr>
          <w:rFonts w:hint="eastAsia" w:ascii="楷体_GB2312" w:hAnsi="楷体_GB2312" w:eastAsia="楷体_GB2312" w:cs="楷体_GB2312"/>
          <w:b w:val="0"/>
          <w:bCs w:val="0"/>
          <w:color w:val="000000"/>
          <w:kern w:val="2"/>
          <w:sz w:val="32"/>
          <w:szCs w:val="32"/>
          <w:lang w:val="en-US" w:eastAsia="zh-CN" w:bidi="ar-SA"/>
        </w:rPr>
        <w:t>（二）资金保障</w:t>
      </w:r>
      <w:bookmarkEnd w:id="35"/>
    </w:p>
    <w:p w14:paraId="4AC5A4FF">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根据减灾工作的需要安排专项资金，为灾害应急处置提供经费保障。财政、审计部门加强对资金使用情况的监督检查，确保专款专用。财政部门要根据常年灾情和财政能力，编制自然灾害生活救助资金年度预算，并配合有关部门加强资金的监督和管理。</w:t>
      </w:r>
    </w:p>
    <w:p w14:paraId="4F9BDDED">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6" w:name="_Toc27505"/>
      <w:r>
        <w:rPr>
          <w:rFonts w:hint="eastAsia" w:ascii="楷体_GB2312" w:hAnsi="楷体_GB2312" w:eastAsia="楷体_GB2312" w:cs="楷体_GB2312"/>
          <w:b w:val="0"/>
          <w:bCs w:val="0"/>
          <w:color w:val="000000"/>
          <w:kern w:val="2"/>
          <w:sz w:val="32"/>
          <w:szCs w:val="32"/>
          <w:lang w:val="en-US" w:eastAsia="zh-CN" w:bidi="ar-SA"/>
        </w:rPr>
        <w:t>（三）物资保障</w:t>
      </w:r>
      <w:bookmarkEnd w:id="36"/>
    </w:p>
    <w:p w14:paraId="169FCA84">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政府各有关部门按照职责分工，建立健全应急物资储备保障制度，完善重要应急物资监管、生产、储备、调拨和紧急配送体系。应急管理会同粮食物资储备部门加强生活类救灾物资储备，完善应急采购、调运机制。农牧业部门做好救灾备荒种子和饲草储备、调运工作，会同相关部门做好农牧业救灾物资、生产资料的储备、调剂和调运工作。气象灾害易发、多发地区的苏木乡镇（办）人民政府应当建立应急救援物资、生活必需品和应急处置装备的应急储备基地。</w:t>
      </w:r>
    </w:p>
    <w:p w14:paraId="54F2F9CB">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7" w:name="_Toc28498"/>
      <w:r>
        <w:rPr>
          <w:rFonts w:hint="eastAsia" w:ascii="楷体_GB2312" w:hAnsi="楷体_GB2312" w:eastAsia="楷体_GB2312" w:cs="楷体_GB2312"/>
          <w:b w:val="0"/>
          <w:bCs w:val="0"/>
          <w:color w:val="000000"/>
          <w:kern w:val="2"/>
          <w:sz w:val="32"/>
          <w:szCs w:val="32"/>
          <w:lang w:val="en-US" w:eastAsia="zh-CN" w:bidi="ar-SA"/>
        </w:rPr>
        <w:t>（四）医疗保障</w:t>
      </w:r>
      <w:bookmarkEnd w:id="37"/>
    </w:p>
    <w:p w14:paraId="13B654C3">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卫健委建立疫情应急预案，做好救援应急药品、医疗器械、设备、快速检测器材和试剂、防护用品等物资的储备和调拨动用。出现灾情后，应组建医疗卫生救援队伍，及时赶赴灾区开展医疗救治与疾病预防控制，开设应急救援“绿色通道”，保证医疗救援工作的顺利开展。</w:t>
      </w:r>
    </w:p>
    <w:p w14:paraId="1CB83DF4">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8" w:name="_Toc6049"/>
      <w:r>
        <w:rPr>
          <w:rFonts w:hint="eastAsia" w:ascii="楷体_GB2312" w:hAnsi="楷体_GB2312" w:eastAsia="楷体_GB2312" w:cs="楷体_GB2312"/>
          <w:b w:val="0"/>
          <w:bCs w:val="0"/>
          <w:color w:val="000000"/>
          <w:kern w:val="2"/>
          <w:sz w:val="32"/>
          <w:szCs w:val="32"/>
          <w:lang w:val="en-US" w:eastAsia="zh-CN" w:bidi="ar-SA"/>
        </w:rPr>
        <w:t>（五）通信保障</w:t>
      </w:r>
      <w:bookmarkEnd w:id="38"/>
    </w:p>
    <w:p w14:paraId="7338D552">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及相关部门以公共通信网络为主体，建立快速、安全、稳定、可靠的灾害监测设施、应急指挥设备、应急通信系统和预警信息发布系统，提高对灾害及其次生、衍生灾害的综合监测能力。通信、广播电视等部门组织、指导协调全市灾害应急工作的通信和广播电视保障工作，以公用通信网为主体，建立跨部门、跨地区灾害应急通信保障系统。灾区通信管理部门及时采取措施恢复受损的通信线路和设施，保障监测预警信息的应急传播。</w:t>
      </w:r>
    </w:p>
    <w:p w14:paraId="195B10C6">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9" w:name="_Toc32528"/>
      <w:r>
        <w:rPr>
          <w:rFonts w:hint="eastAsia" w:ascii="楷体_GB2312" w:hAnsi="楷体_GB2312" w:eastAsia="楷体_GB2312" w:cs="楷体_GB2312"/>
          <w:b w:val="0"/>
          <w:bCs w:val="0"/>
          <w:color w:val="000000"/>
          <w:kern w:val="2"/>
          <w:sz w:val="32"/>
          <w:szCs w:val="32"/>
          <w:lang w:val="en-US" w:eastAsia="zh-CN" w:bidi="ar-SA"/>
        </w:rPr>
        <w:t>（六）交通运输保障</w:t>
      </w:r>
      <w:bookmarkEnd w:id="39"/>
    </w:p>
    <w:p w14:paraId="30DFF476">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交通运输、公安等部门应当完善抢险救灾、灾区群众安全转移所需车辆、火车的调配方案，做好紧急情况下应急交通工具的优先安排、快速放行，确保抢险救灾物资运输安全和畅通。交通</w:t>
      </w:r>
      <w:r>
        <w:rPr>
          <w:rFonts w:hint="eastAsia" w:ascii="仿宋_GB2312" w:hAnsi="仿宋_GB2312" w:eastAsia="仿宋_GB2312" w:cs="仿宋_GB2312"/>
          <w:b w:val="0"/>
          <w:bCs w:val="0"/>
          <w:color w:val="000000"/>
          <w:spacing w:val="-6"/>
          <w:kern w:val="0"/>
          <w:sz w:val="32"/>
          <w:szCs w:val="32"/>
          <w:lang w:val="en-US" w:eastAsia="zh-CN" w:bidi="ar-SA"/>
        </w:rPr>
        <w:t>设施受损时，有关部门、单位和当地政府应迅速组织力量进行抢修。</w:t>
      </w:r>
    </w:p>
    <w:p w14:paraId="4A9E7EC8">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0" w:name="_Toc29469"/>
      <w:r>
        <w:rPr>
          <w:rFonts w:hint="eastAsia" w:ascii="楷体_GB2312" w:hAnsi="楷体_GB2312" w:eastAsia="楷体_GB2312" w:cs="楷体_GB2312"/>
          <w:b w:val="0"/>
          <w:bCs w:val="0"/>
          <w:color w:val="000000"/>
          <w:kern w:val="2"/>
          <w:sz w:val="32"/>
          <w:szCs w:val="32"/>
          <w:lang w:val="en-US" w:eastAsia="zh-CN" w:bidi="ar-SA"/>
        </w:rPr>
        <w:t>（七）治安保障</w:t>
      </w:r>
      <w:bookmarkEnd w:id="40"/>
    </w:p>
    <w:p w14:paraId="58739F21">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气象灾害发生后，由公安部门组织警力实施现场治安警戒，灾害发生地所在地人民政府协助公安部门做好治安保障。</w:t>
      </w:r>
    </w:p>
    <w:p w14:paraId="7F9AF8D2">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1" w:name="_Toc30100"/>
      <w:r>
        <w:rPr>
          <w:rFonts w:hint="eastAsia" w:ascii="楷体_GB2312" w:hAnsi="楷体_GB2312" w:eastAsia="楷体_GB2312" w:cs="楷体_GB2312"/>
          <w:b w:val="0"/>
          <w:bCs w:val="0"/>
          <w:color w:val="000000"/>
          <w:kern w:val="2"/>
          <w:sz w:val="32"/>
          <w:szCs w:val="32"/>
          <w:lang w:val="en-US" w:eastAsia="zh-CN" w:bidi="ar-SA"/>
        </w:rPr>
        <w:t>（八）技术保障</w:t>
      </w:r>
      <w:bookmarkEnd w:id="41"/>
    </w:p>
    <w:p w14:paraId="0E363312">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组织相关机构和单位开展灾害监测、预警、预报、应急处置和综合防灾减灾的技术研究，做好灾害应急技术储备；成立专家技术组，建立灾害应急专家咨询机制，为应急工作提供技术支持。</w:t>
      </w:r>
    </w:p>
    <w:p w14:paraId="5DB0B98B">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42" w:name="_Toc31048"/>
      <w:r>
        <w:rPr>
          <w:rFonts w:hint="eastAsia" w:ascii="黑体" w:hAnsi="黑体" w:eastAsia="黑体" w:cs="黑体"/>
          <w:b w:val="0"/>
          <w:bCs w:val="0"/>
          <w:sz w:val="32"/>
          <w:szCs w:val="32"/>
          <w:lang w:val="en-US" w:eastAsia="zh-CN"/>
        </w:rPr>
        <w:t>九、监督管理</w:t>
      </w:r>
      <w:bookmarkEnd w:id="42"/>
    </w:p>
    <w:p w14:paraId="35F22F7C">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3" w:name="_Toc6161"/>
      <w:r>
        <w:rPr>
          <w:rFonts w:hint="eastAsia" w:ascii="楷体_GB2312" w:hAnsi="楷体_GB2312" w:eastAsia="楷体_GB2312" w:cs="楷体_GB2312"/>
          <w:b w:val="0"/>
          <w:bCs w:val="0"/>
          <w:color w:val="000000"/>
          <w:kern w:val="2"/>
          <w:sz w:val="32"/>
          <w:szCs w:val="32"/>
          <w:lang w:val="en-US" w:eastAsia="zh-CN" w:bidi="ar-SA"/>
        </w:rPr>
        <w:t>（一）预案演练</w:t>
      </w:r>
      <w:bookmarkEnd w:id="43"/>
    </w:p>
    <w:p w14:paraId="5BF96399">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指挥部领导下，指挥部办公室不定期组织各成员单位开展汛情转移民众演练。预案演练应立足于实战，强化应急责任，熟悉应急程序，检验应急机制，锻炼应急队伍，提高应急响应水平，并为修订和完善预案提供依据。</w:t>
      </w:r>
    </w:p>
    <w:p w14:paraId="044C6AD4">
      <w:pPr>
        <w:pStyle w:val="2"/>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4" w:name="_Toc7289"/>
      <w:r>
        <w:rPr>
          <w:rFonts w:hint="eastAsia" w:ascii="楷体_GB2312" w:hAnsi="楷体_GB2312" w:eastAsia="楷体_GB2312" w:cs="楷体_GB2312"/>
          <w:b w:val="0"/>
          <w:bCs w:val="0"/>
          <w:color w:val="000000"/>
          <w:kern w:val="2"/>
          <w:sz w:val="32"/>
          <w:szCs w:val="32"/>
          <w:lang w:val="en-US" w:eastAsia="zh-CN" w:bidi="ar-SA"/>
        </w:rPr>
        <w:t>（二）宣传培训</w:t>
      </w:r>
      <w:bookmarkEnd w:id="44"/>
    </w:p>
    <w:p w14:paraId="341574A6">
      <w:pPr>
        <w:pStyle w:val="5"/>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各苏木乡镇（办）人民政府充分利用各种媒体和手段，加强汛情预警及防御知识的宣传教育和培训，建立完善应急队伍培训机制，使相关部门和单位及社会公众熟练掌握气象灾害应急防御知识，增强公众防灾减灾意识和自救互救能力。</w:t>
      </w:r>
    </w:p>
    <w:p w14:paraId="619ECDF2">
      <w:pPr>
        <w:pStyle w:val="2"/>
        <w:keepNext w:val="0"/>
        <w:keepLines w:val="0"/>
        <w:pageBreakBefore w:val="0"/>
        <w:widowControl w:val="0"/>
        <w:kinsoku/>
        <w:wordWrap/>
        <w:overflowPunct/>
        <w:topLinePunct w:val="0"/>
        <w:autoSpaceDE/>
        <w:autoSpaceDN/>
        <w:bidi w:val="0"/>
        <w:adjustRightInd/>
        <w:snapToGrid/>
        <w:spacing w:line="600" w:lineRule="atLeas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5" w:name="_Toc4525"/>
      <w:r>
        <w:rPr>
          <w:rFonts w:hint="eastAsia" w:ascii="楷体_GB2312" w:hAnsi="楷体_GB2312" w:eastAsia="楷体_GB2312" w:cs="楷体_GB2312"/>
          <w:b w:val="0"/>
          <w:bCs w:val="0"/>
          <w:color w:val="000000"/>
          <w:kern w:val="2"/>
          <w:sz w:val="32"/>
          <w:szCs w:val="32"/>
          <w:lang w:val="en-US" w:eastAsia="zh-CN" w:bidi="ar-SA"/>
        </w:rPr>
        <w:t>（三）预案实施时间</w:t>
      </w:r>
      <w:bookmarkEnd w:id="45"/>
    </w:p>
    <w:p w14:paraId="7336AA72">
      <w:pPr>
        <w:pStyle w:val="5"/>
        <w:pageBreakBefore w:val="0"/>
        <w:kinsoku/>
        <w:wordWrap/>
        <w:autoSpaceDE/>
        <w:autoSpaceDN/>
        <w:bidi w:val="0"/>
        <w:adjustRightInd/>
        <w:snapToGrid/>
        <w:spacing w:line="600" w:lineRule="atLeast"/>
        <w:rPr>
          <w:rFonts w:hint="default" w:ascii="仿宋_GB2312" w:hAnsi="仿宋_GB2312" w:eastAsia="仿宋_GB2312" w:cs="仿宋_GB2312"/>
          <w:b w:val="0"/>
          <w:bCs w:val="0"/>
          <w:color w:val="000000"/>
          <w:kern w:val="0"/>
          <w:sz w:val="32"/>
          <w:szCs w:val="32"/>
          <w:lang w:val="en" w:eastAsia="zh-CN" w:bidi="ar-SA"/>
        </w:rPr>
      </w:pPr>
      <w:r>
        <w:rPr>
          <w:rFonts w:hint="eastAsia" w:ascii="仿宋_GB2312" w:hAnsi="仿宋_GB2312" w:eastAsia="仿宋_GB2312" w:cs="仿宋_GB2312"/>
          <w:b w:val="0"/>
          <w:bCs w:val="0"/>
          <w:color w:val="000000"/>
          <w:kern w:val="0"/>
          <w:sz w:val="32"/>
          <w:szCs w:val="32"/>
          <w:lang w:val="en-US" w:eastAsia="zh-CN" w:bidi="ar-SA"/>
        </w:rPr>
        <w:t>本预案自发布之日起施行。</w:t>
      </w:r>
    </w:p>
    <w:tbl>
      <w:tblPr>
        <w:tblStyle w:val="16"/>
        <w:tblpPr w:leftFromText="180" w:rightFromText="180" w:vertAnchor="page" w:horzAnchor="page" w:tblpXSpec="center" w:tblpY="5168"/>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935"/>
        <w:gridCol w:w="3588"/>
      </w:tblGrid>
      <w:tr w14:paraId="20DC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40" w:type="dxa"/>
            <w:gridSpan w:val="3"/>
            <w:tcBorders>
              <w:top w:val="nil"/>
              <w:left w:val="nil"/>
              <w:bottom w:val="single" w:color="auto" w:sz="4" w:space="0"/>
              <w:right w:val="nil"/>
            </w:tcBorders>
            <w:shd w:val="clear" w:color="auto" w:fill="auto"/>
            <w:vAlign w:val="center"/>
          </w:tcPr>
          <w:p w14:paraId="11855AF4">
            <w:pPr>
              <w:pageBreakBefore w:val="0"/>
              <w:kinsoku/>
              <w:wordWrap/>
              <w:autoSpaceDE/>
              <w:autoSpaceDN/>
              <w:bidi w:val="0"/>
              <w:adjustRightInd/>
              <w:snapToGrid/>
              <w:spacing w:line="600" w:lineRule="atLeast"/>
              <w:jc w:val="center"/>
              <w:rPr>
                <w:rFonts w:hint="default" w:ascii="黑体" w:hAnsi="黑体" w:eastAsia="黑体" w:cs="黑体"/>
                <w:b w:val="0"/>
                <w:bCs w:val="0"/>
                <w:color w:val="000000"/>
                <w:kern w:val="2"/>
                <w:sz w:val="32"/>
                <w:szCs w:val="32"/>
                <w:lang w:val="en-US" w:eastAsia="zh-CN" w:bidi="ar-SA"/>
              </w:rPr>
            </w:pPr>
            <w:r>
              <w:rPr>
                <w:rFonts w:hint="default" w:ascii="黑体" w:hAnsi="黑体" w:eastAsia="黑体" w:cs="黑体"/>
                <w:b w:val="0"/>
                <w:bCs w:val="0"/>
                <w:color w:val="000000"/>
                <w:kern w:val="2"/>
                <w:sz w:val="32"/>
                <w:szCs w:val="32"/>
                <w:lang w:val="en-US" w:eastAsia="zh-CN" w:bidi="ar-SA"/>
              </w:rPr>
              <w:t>额尔古纳市地质灾害</w:t>
            </w:r>
            <w:r>
              <w:rPr>
                <w:rFonts w:hint="eastAsia" w:ascii="黑体" w:hAnsi="黑体" w:eastAsia="黑体" w:cs="黑体"/>
                <w:b w:val="0"/>
                <w:bCs w:val="0"/>
                <w:color w:val="000000"/>
                <w:kern w:val="2"/>
                <w:sz w:val="32"/>
                <w:szCs w:val="32"/>
                <w:lang w:val="en-US" w:eastAsia="zh-CN" w:bidi="ar-SA"/>
              </w:rPr>
              <w:t>应急</w:t>
            </w:r>
            <w:r>
              <w:rPr>
                <w:rFonts w:hint="default" w:ascii="黑体" w:hAnsi="黑体" w:eastAsia="黑体" w:cs="黑体"/>
                <w:b w:val="0"/>
                <w:bCs w:val="0"/>
                <w:color w:val="000000"/>
                <w:kern w:val="2"/>
                <w:sz w:val="32"/>
                <w:szCs w:val="32"/>
                <w:lang w:val="en-US" w:eastAsia="zh-CN" w:bidi="ar-SA"/>
              </w:rPr>
              <w:t>预案</w:t>
            </w:r>
          </w:p>
          <w:p w14:paraId="385CA3FD">
            <w:pPr>
              <w:pageBreakBefore w:val="0"/>
              <w:kinsoku/>
              <w:wordWrap/>
              <w:autoSpaceDE/>
              <w:autoSpaceDN/>
              <w:bidi w:val="0"/>
              <w:adjustRightInd/>
              <w:snapToGrid/>
              <w:spacing w:line="600" w:lineRule="atLeast"/>
              <w:jc w:val="center"/>
              <w:rPr>
                <w:rFonts w:hint="default" w:ascii="Times New Roman" w:hAnsi="Times New Roman" w:eastAsia="宋体" w:cs="Times New Roman"/>
                <w:kern w:val="0"/>
                <w:sz w:val="24"/>
                <w:szCs w:val="24"/>
              </w:rPr>
            </w:pPr>
            <w:r>
              <w:rPr>
                <w:rFonts w:hint="default" w:ascii="黑体" w:hAnsi="黑体" w:eastAsia="黑体" w:cs="黑体"/>
                <w:b w:val="0"/>
                <w:bCs w:val="0"/>
                <w:color w:val="000000"/>
                <w:kern w:val="2"/>
                <w:sz w:val="32"/>
                <w:szCs w:val="32"/>
                <w:lang w:val="en-US" w:eastAsia="zh-CN" w:bidi="ar-SA"/>
              </w:rPr>
              <w:t>专家意见修改情况说明</w:t>
            </w:r>
          </w:p>
        </w:tc>
      </w:tr>
      <w:tr w14:paraId="1622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340" w:type="dxa"/>
            <w:gridSpan w:val="3"/>
            <w:tcBorders>
              <w:top w:val="single" w:color="auto" w:sz="4" w:space="0"/>
            </w:tcBorders>
            <w:shd w:val="clear" w:color="auto" w:fill="auto"/>
            <w:vAlign w:val="center"/>
          </w:tcPr>
          <w:p w14:paraId="1488F50A">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审核意见</w:t>
            </w:r>
          </w:p>
        </w:tc>
      </w:tr>
      <w:tr w14:paraId="6B7C5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7" w:type="dxa"/>
            <w:tcBorders>
              <w:top w:val="single" w:color="auto" w:sz="4" w:space="0"/>
            </w:tcBorders>
            <w:shd w:val="clear" w:color="auto" w:fill="auto"/>
            <w:vAlign w:val="center"/>
          </w:tcPr>
          <w:p w14:paraId="4556E42B">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序号</w:t>
            </w:r>
          </w:p>
        </w:tc>
        <w:tc>
          <w:tcPr>
            <w:tcW w:w="4935" w:type="dxa"/>
            <w:tcBorders>
              <w:top w:val="single" w:color="auto" w:sz="4" w:space="0"/>
            </w:tcBorders>
            <w:shd w:val="clear" w:color="auto" w:fill="auto"/>
            <w:vAlign w:val="center"/>
          </w:tcPr>
          <w:p w14:paraId="41B402E0">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专家</w:t>
            </w:r>
            <w:r>
              <w:rPr>
                <w:rFonts w:hint="eastAsia" w:ascii="宋体" w:hAnsi="宋体" w:eastAsia="宋体" w:cs="宋体"/>
                <w:sz w:val="21"/>
                <w:szCs w:val="21"/>
                <w:highlight w:val="none"/>
                <w:lang w:val="en-US" w:eastAsia="zh-CN"/>
              </w:rPr>
              <w:t>组</w:t>
            </w:r>
            <w:r>
              <w:rPr>
                <w:rFonts w:hint="default" w:ascii="宋体" w:hAnsi="宋体" w:eastAsia="宋体" w:cs="宋体"/>
                <w:sz w:val="21"/>
                <w:szCs w:val="21"/>
                <w:highlight w:val="none"/>
                <w:lang w:val="en-US" w:eastAsia="zh-CN"/>
              </w:rPr>
              <w:t>审查意见及建议</w:t>
            </w:r>
          </w:p>
        </w:tc>
        <w:tc>
          <w:tcPr>
            <w:tcW w:w="3588" w:type="dxa"/>
            <w:tcBorders>
              <w:top w:val="single" w:color="auto" w:sz="4" w:space="0"/>
            </w:tcBorders>
            <w:shd w:val="clear" w:color="auto" w:fill="auto"/>
            <w:vAlign w:val="center"/>
          </w:tcPr>
          <w:p w14:paraId="53C17794">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修改说明</w:t>
            </w:r>
          </w:p>
        </w:tc>
      </w:tr>
      <w:tr w14:paraId="0CDA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817" w:type="dxa"/>
            <w:tcBorders>
              <w:top w:val="single" w:color="auto" w:sz="4" w:space="0"/>
              <w:bottom w:val="single" w:color="auto" w:sz="4" w:space="0"/>
            </w:tcBorders>
            <w:shd w:val="clear" w:color="auto" w:fill="auto"/>
            <w:vAlign w:val="center"/>
          </w:tcPr>
          <w:p w14:paraId="4AC89C81">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935" w:type="dxa"/>
            <w:tcBorders>
              <w:top w:val="single" w:color="auto" w:sz="4" w:space="0"/>
              <w:bottom w:val="single" w:color="auto" w:sz="4" w:space="0"/>
            </w:tcBorders>
            <w:shd w:val="clear" w:color="auto" w:fill="auto"/>
            <w:vAlign w:val="center"/>
          </w:tcPr>
          <w:p w14:paraId="2B412798">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第2章地质灾害险情和灾情分级，补充监测和预防重点、危险点威胁对象和范围、分级预警信号</w:t>
            </w:r>
          </w:p>
        </w:tc>
        <w:tc>
          <w:tcPr>
            <w:tcW w:w="3588" w:type="dxa"/>
            <w:tcBorders>
              <w:top w:val="single" w:color="auto" w:sz="4" w:space="0"/>
              <w:bottom w:val="single" w:color="auto" w:sz="4" w:space="0"/>
            </w:tcBorders>
            <w:shd w:val="clear" w:color="auto" w:fill="auto"/>
            <w:vAlign w:val="center"/>
          </w:tcPr>
          <w:p w14:paraId="26147935">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P6 2.2地质灾害监测和预防重点</w:t>
            </w:r>
          </w:p>
          <w:p w14:paraId="68D1F5A7">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2.3危险点威胁对象和范围</w:t>
            </w:r>
          </w:p>
          <w:p w14:paraId="3BAACF85">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2.4预警分级</w:t>
            </w:r>
          </w:p>
          <w:p w14:paraId="5BF16598">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p>
        </w:tc>
      </w:tr>
      <w:tr w14:paraId="1121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7" w:type="dxa"/>
            <w:tcBorders>
              <w:top w:val="single" w:color="auto" w:sz="4" w:space="0"/>
              <w:bottom w:val="single" w:color="auto" w:sz="4" w:space="0"/>
            </w:tcBorders>
            <w:shd w:val="clear" w:color="auto" w:fill="auto"/>
            <w:vAlign w:val="center"/>
          </w:tcPr>
          <w:p w14:paraId="3B641E5B">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4935" w:type="dxa"/>
            <w:tcBorders>
              <w:top w:val="single" w:color="auto" w:sz="4" w:space="0"/>
              <w:bottom w:val="single" w:color="auto" w:sz="4" w:space="0"/>
            </w:tcBorders>
            <w:shd w:val="clear" w:color="auto" w:fill="auto"/>
            <w:vAlign w:val="center"/>
          </w:tcPr>
          <w:p w14:paraId="3F94BF5E">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区域地质灾害有基本统计信息，即具体位置、类型、发生时期等具有可预测性，对易发地灾区应设立专门机构、责任人；</w:t>
            </w:r>
          </w:p>
        </w:tc>
        <w:tc>
          <w:tcPr>
            <w:tcW w:w="3588" w:type="dxa"/>
            <w:tcBorders>
              <w:top w:val="single" w:color="auto" w:sz="4" w:space="0"/>
              <w:bottom w:val="single" w:color="auto" w:sz="4" w:space="0"/>
            </w:tcBorders>
            <w:shd w:val="clear" w:color="auto" w:fill="auto"/>
            <w:vAlign w:val="center"/>
          </w:tcPr>
          <w:p w14:paraId="1BC4FA66">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P14 4.2.3地质灾害基本统计信息。</w:t>
            </w:r>
          </w:p>
        </w:tc>
      </w:tr>
    </w:tbl>
    <w:p w14:paraId="41663677">
      <w:pPr>
        <w:pageBreakBefore w:val="0"/>
        <w:kinsoku/>
        <w:wordWrap/>
        <w:autoSpaceDE/>
        <w:autoSpaceDN/>
        <w:bidi w:val="0"/>
        <w:adjustRightInd/>
        <w:snapToGrid/>
        <w:spacing w:line="600" w:lineRule="atLeast"/>
        <w:ind w:firstLine="398" w:firstLineChars="0"/>
        <w:jc w:val="center"/>
        <w:rPr>
          <w:rFonts w:hint="default"/>
          <w:lang w:val="en-US" w:eastAsia="zh-CN"/>
        </w:rPr>
      </w:pPr>
    </w:p>
    <w:p w14:paraId="6F06483C">
      <w:pPr>
        <w:pageBreakBefore w:val="0"/>
        <w:kinsoku/>
        <w:wordWrap/>
        <w:autoSpaceDE/>
        <w:autoSpaceDN/>
        <w:bidi w:val="0"/>
        <w:adjustRightInd/>
        <w:snapToGrid/>
        <w:spacing w:line="600" w:lineRule="atLeast"/>
        <w:rPr>
          <w:rFonts w:hint="default"/>
          <w:lang w:val="en-US" w:eastAsia="zh-CN"/>
        </w:rPr>
      </w:pPr>
    </w:p>
    <w:p w14:paraId="628455FD">
      <w:pPr>
        <w:pageBreakBefore w:val="0"/>
        <w:kinsoku/>
        <w:wordWrap/>
        <w:autoSpaceDE/>
        <w:autoSpaceDN/>
        <w:bidi w:val="0"/>
        <w:adjustRightInd/>
        <w:snapToGrid/>
        <w:spacing w:line="600" w:lineRule="atLeast"/>
        <w:rPr>
          <w:rFonts w:hint="default"/>
          <w:lang w:val="en-US" w:eastAsia="zh-CN"/>
        </w:rPr>
      </w:pPr>
    </w:p>
    <w:p w14:paraId="7876CC91">
      <w:pPr>
        <w:pageBreakBefore w:val="0"/>
        <w:kinsoku/>
        <w:wordWrap/>
        <w:autoSpaceDE/>
        <w:autoSpaceDN/>
        <w:bidi w:val="0"/>
        <w:adjustRightInd/>
        <w:snapToGrid/>
        <w:spacing w:line="600" w:lineRule="atLeast"/>
        <w:rPr>
          <w:rFonts w:hint="default"/>
          <w:lang w:val="en-US" w:eastAsia="zh-CN"/>
        </w:rPr>
      </w:pPr>
    </w:p>
    <w:tbl>
      <w:tblPr>
        <w:tblStyle w:val="16"/>
        <w:tblpPr w:leftFromText="180" w:rightFromText="180" w:vertAnchor="page" w:horzAnchor="page" w:tblpX="1345" w:tblpY="2077"/>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935"/>
        <w:gridCol w:w="3588"/>
      </w:tblGrid>
      <w:tr w14:paraId="43AB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340" w:type="dxa"/>
            <w:gridSpan w:val="3"/>
            <w:tcBorders>
              <w:top w:val="nil"/>
              <w:left w:val="nil"/>
              <w:bottom w:val="single" w:color="auto" w:sz="4" w:space="0"/>
              <w:right w:val="nil"/>
            </w:tcBorders>
            <w:shd w:val="clear" w:color="auto" w:fill="auto"/>
            <w:vAlign w:val="center"/>
          </w:tcPr>
          <w:p w14:paraId="25370488">
            <w:pPr>
              <w:pageBreakBefore w:val="0"/>
              <w:kinsoku/>
              <w:wordWrap/>
              <w:autoSpaceDE/>
              <w:autoSpaceDN/>
              <w:bidi w:val="0"/>
              <w:adjustRightInd/>
              <w:snapToGrid/>
              <w:spacing w:line="600" w:lineRule="atLeast"/>
              <w:jc w:val="center"/>
              <w:rPr>
                <w:rFonts w:hint="default" w:ascii="黑体" w:hAnsi="黑体" w:eastAsia="黑体" w:cs="黑体"/>
                <w:b w:val="0"/>
                <w:bCs w:val="0"/>
                <w:color w:val="000000"/>
                <w:kern w:val="2"/>
                <w:sz w:val="32"/>
                <w:szCs w:val="32"/>
                <w:lang w:val="en-US" w:eastAsia="zh-CN" w:bidi="ar-SA"/>
              </w:rPr>
            </w:pPr>
            <w:r>
              <w:rPr>
                <w:rFonts w:hint="default" w:ascii="黑体" w:hAnsi="黑体" w:eastAsia="黑体" w:cs="黑体"/>
                <w:b w:val="0"/>
                <w:bCs w:val="0"/>
                <w:color w:val="000000"/>
                <w:kern w:val="2"/>
                <w:sz w:val="32"/>
                <w:szCs w:val="32"/>
                <w:lang w:val="en-US" w:eastAsia="zh-CN" w:bidi="ar-SA"/>
              </w:rPr>
              <w:t>额尔古纳市防范应对极寒暴雪灾害天气</w:t>
            </w:r>
            <w:r>
              <w:rPr>
                <w:rFonts w:hint="eastAsia" w:ascii="黑体" w:hAnsi="黑体" w:eastAsia="黑体" w:cs="黑体"/>
                <w:b w:val="0"/>
                <w:bCs w:val="0"/>
                <w:color w:val="000000"/>
                <w:kern w:val="2"/>
                <w:sz w:val="32"/>
                <w:szCs w:val="32"/>
                <w:lang w:val="en-US" w:eastAsia="zh-CN" w:bidi="ar-SA"/>
              </w:rPr>
              <w:t>应急</w:t>
            </w:r>
            <w:r>
              <w:rPr>
                <w:rFonts w:hint="default" w:ascii="黑体" w:hAnsi="黑体" w:eastAsia="黑体" w:cs="黑体"/>
                <w:b w:val="0"/>
                <w:bCs w:val="0"/>
                <w:color w:val="000000"/>
                <w:kern w:val="2"/>
                <w:sz w:val="32"/>
                <w:szCs w:val="32"/>
                <w:lang w:val="en-US" w:eastAsia="zh-CN" w:bidi="ar-SA"/>
              </w:rPr>
              <w:t>预案</w:t>
            </w:r>
          </w:p>
          <w:p w14:paraId="3445F82C">
            <w:pPr>
              <w:pageBreakBefore w:val="0"/>
              <w:kinsoku/>
              <w:wordWrap/>
              <w:autoSpaceDE/>
              <w:autoSpaceDN/>
              <w:bidi w:val="0"/>
              <w:adjustRightInd/>
              <w:snapToGrid/>
              <w:spacing w:line="600" w:lineRule="atLeast"/>
              <w:jc w:val="center"/>
              <w:rPr>
                <w:rFonts w:hint="default" w:ascii="Times New Roman" w:hAnsi="Times New Roman" w:eastAsia="宋体" w:cs="Times New Roman"/>
                <w:kern w:val="0"/>
                <w:sz w:val="24"/>
                <w:szCs w:val="24"/>
              </w:rPr>
            </w:pPr>
            <w:r>
              <w:rPr>
                <w:rFonts w:hint="default" w:ascii="黑体" w:hAnsi="黑体" w:eastAsia="黑体" w:cs="黑体"/>
                <w:b w:val="0"/>
                <w:bCs w:val="0"/>
                <w:color w:val="000000"/>
                <w:kern w:val="2"/>
                <w:sz w:val="32"/>
                <w:szCs w:val="32"/>
                <w:lang w:val="en-US" w:eastAsia="zh-CN" w:bidi="ar-SA"/>
              </w:rPr>
              <w:t>专家意见修改情况说明</w:t>
            </w:r>
          </w:p>
        </w:tc>
      </w:tr>
      <w:tr w14:paraId="451C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340" w:type="dxa"/>
            <w:gridSpan w:val="3"/>
            <w:tcBorders>
              <w:top w:val="single" w:color="auto" w:sz="4" w:space="0"/>
            </w:tcBorders>
            <w:shd w:val="clear" w:color="auto" w:fill="auto"/>
            <w:vAlign w:val="center"/>
          </w:tcPr>
          <w:p w14:paraId="6F1D8865">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审核意见</w:t>
            </w:r>
          </w:p>
        </w:tc>
      </w:tr>
      <w:tr w14:paraId="1AFF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tcBorders>
            <w:shd w:val="clear" w:color="auto" w:fill="auto"/>
            <w:vAlign w:val="center"/>
          </w:tcPr>
          <w:p w14:paraId="208AD8B4">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序号</w:t>
            </w:r>
          </w:p>
        </w:tc>
        <w:tc>
          <w:tcPr>
            <w:tcW w:w="4935" w:type="dxa"/>
            <w:tcBorders>
              <w:top w:val="single" w:color="auto" w:sz="4" w:space="0"/>
            </w:tcBorders>
            <w:shd w:val="clear" w:color="auto" w:fill="auto"/>
            <w:vAlign w:val="center"/>
          </w:tcPr>
          <w:p w14:paraId="3BC052D4">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专家</w:t>
            </w:r>
            <w:r>
              <w:rPr>
                <w:rFonts w:hint="eastAsia" w:ascii="宋体" w:hAnsi="宋体" w:eastAsia="宋体" w:cs="宋体"/>
                <w:sz w:val="21"/>
                <w:szCs w:val="21"/>
                <w:highlight w:val="none"/>
                <w:lang w:val="en-US" w:eastAsia="zh-CN"/>
              </w:rPr>
              <w:t>组</w:t>
            </w:r>
            <w:r>
              <w:rPr>
                <w:rFonts w:hint="default" w:ascii="宋体" w:hAnsi="宋体" w:eastAsia="宋体" w:cs="宋体"/>
                <w:sz w:val="21"/>
                <w:szCs w:val="21"/>
                <w:highlight w:val="none"/>
                <w:lang w:val="en-US" w:eastAsia="zh-CN"/>
              </w:rPr>
              <w:t>审查意见及建议</w:t>
            </w:r>
          </w:p>
        </w:tc>
        <w:tc>
          <w:tcPr>
            <w:tcW w:w="3588" w:type="dxa"/>
            <w:tcBorders>
              <w:top w:val="single" w:color="auto" w:sz="4" w:space="0"/>
            </w:tcBorders>
            <w:shd w:val="clear" w:color="auto" w:fill="auto"/>
            <w:vAlign w:val="center"/>
          </w:tcPr>
          <w:p w14:paraId="0DDEB55A">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修改说明</w:t>
            </w:r>
          </w:p>
        </w:tc>
      </w:tr>
      <w:tr w14:paraId="25639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17" w:type="dxa"/>
            <w:tcBorders>
              <w:top w:val="single" w:color="auto" w:sz="4" w:space="0"/>
              <w:bottom w:val="single" w:color="auto" w:sz="4" w:space="0"/>
            </w:tcBorders>
            <w:shd w:val="clear" w:color="auto" w:fill="auto"/>
            <w:vAlign w:val="center"/>
          </w:tcPr>
          <w:p w14:paraId="4CF258E1">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935" w:type="dxa"/>
            <w:tcBorders>
              <w:top w:val="single" w:color="auto" w:sz="4" w:space="0"/>
              <w:bottom w:val="single" w:color="auto" w:sz="4" w:space="0"/>
            </w:tcBorders>
            <w:shd w:val="clear" w:color="auto" w:fill="auto"/>
            <w:vAlign w:val="center"/>
          </w:tcPr>
          <w:p w14:paraId="62B7B941">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大（暴）雪气候特征一节补充地域分布特征，根据以往统计预测易出现雪灾区域；</w:t>
            </w:r>
          </w:p>
        </w:tc>
        <w:tc>
          <w:tcPr>
            <w:tcW w:w="3588" w:type="dxa"/>
            <w:tcBorders>
              <w:top w:val="single" w:color="auto" w:sz="4" w:space="0"/>
              <w:bottom w:val="single" w:color="auto" w:sz="4" w:space="0"/>
            </w:tcBorders>
            <w:shd w:val="clear" w:color="auto" w:fill="auto"/>
            <w:vAlign w:val="center"/>
          </w:tcPr>
          <w:p w14:paraId="1F1B13BB">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P5 1.5大（暴）雪气候特征</w:t>
            </w:r>
          </w:p>
        </w:tc>
      </w:tr>
      <w:tr w14:paraId="5C32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bottom w:val="single" w:color="auto" w:sz="4" w:space="0"/>
            </w:tcBorders>
            <w:shd w:val="clear" w:color="auto" w:fill="auto"/>
            <w:vAlign w:val="center"/>
          </w:tcPr>
          <w:p w14:paraId="043A41A5">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4935" w:type="dxa"/>
            <w:tcBorders>
              <w:top w:val="single" w:color="auto" w:sz="4" w:space="0"/>
              <w:bottom w:val="single" w:color="auto" w:sz="4" w:space="0"/>
            </w:tcBorders>
            <w:shd w:val="clear" w:color="auto" w:fill="auto"/>
            <w:vAlign w:val="center"/>
          </w:tcPr>
          <w:p w14:paraId="79512816">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组织机构副指挥应包括应急、气象局长；</w:t>
            </w:r>
          </w:p>
        </w:tc>
        <w:tc>
          <w:tcPr>
            <w:tcW w:w="3588" w:type="dxa"/>
            <w:tcBorders>
              <w:top w:val="single" w:color="auto" w:sz="4" w:space="0"/>
              <w:bottom w:val="single" w:color="auto" w:sz="4" w:space="0"/>
            </w:tcBorders>
            <w:shd w:val="clear" w:color="auto" w:fill="auto"/>
            <w:vAlign w:val="center"/>
          </w:tcPr>
          <w:p w14:paraId="6602A8E4">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P7 市应急管理局局长</w:t>
            </w:r>
          </w:p>
          <w:p w14:paraId="4B9D6BC8">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市气象局局长</w:t>
            </w:r>
          </w:p>
        </w:tc>
      </w:tr>
      <w:tr w14:paraId="4849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bottom w:val="single" w:color="auto" w:sz="4" w:space="0"/>
            </w:tcBorders>
            <w:shd w:val="clear" w:color="auto" w:fill="auto"/>
            <w:vAlign w:val="center"/>
          </w:tcPr>
          <w:p w14:paraId="2BB4DA97">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4935" w:type="dxa"/>
            <w:tcBorders>
              <w:top w:val="single" w:color="auto" w:sz="4" w:space="0"/>
              <w:bottom w:val="single" w:color="auto" w:sz="4" w:space="0"/>
            </w:tcBorders>
            <w:shd w:val="clear" w:color="auto" w:fill="auto"/>
            <w:vAlign w:val="center"/>
          </w:tcPr>
          <w:p w14:paraId="1659D077">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不同级应急响应中蓝色预警（Ⅳ）应是通知各部门准备就绪、待命，无需应急处置；</w:t>
            </w:r>
          </w:p>
        </w:tc>
        <w:tc>
          <w:tcPr>
            <w:tcW w:w="3588" w:type="dxa"/>
            <w:tcBorders>
              <w:top w:val="single" w:color="auto" w:sz="4" w:space="0"/>
              <w:bottom w:val="single" w:color="auto" w:sz="4" w:space="0"/>
            </w:tcBorders>
            <w:shd w:val="clear" w:color="auto" w:fill="auto"/>
            <w:vAlign w:val="center"/>
          </w:tcPr>
          <w:p w14:paraId="4A43A30F">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P16 向各有关单位发布启动相关应急程序的命令，通知各部门准备就绪、待命。</w:t>
            </w:r>
          </w:p>
        </w:tc>
      </w:tr>
      <w:tr w14:paraId="4E8B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bottom w:val="single" w:color="auto" w:sz="4" w:space="0"/>
            </w:tcBorders>
            <w:shd w:val="clear" w:color="auto" w:fill="auto"/>
            <w:vAlign w:val="center"/>
          </w:tcPr>
          <w:p w14:paraId="7D6C7573">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4935" w:type="dxa"/>
            <w:tcBorders>
              <w:top w:val="single" w:color="auto" w:sz="4" w:space="0"/>
              <w:bottom w:val="single" w:color="auto" w:sz="4" w:space="0"/>
            </w:tcBorders>
            <w:shd w:val="clear" w:color="auto" w:fill="auto"/>
            <w:vAlign w:val="center"/>
          </w:tcPr>
          <w:p w14:paraId="1740CC43">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财政、审计部门应参加灾情核定；</w:t>
            </w:r>
          </w:p>
        </w:tc>
        <w:tc>
          <w:tcPr>
            <w:tcW w:w="3588" w:type="dxa"/>
            <w:tcBorders>
              <w:top w:val="single" w:color="auto" w:sz="4" w:space="0"/>
              <w:bottom w:val="single" w:color="auto" w:sz="4" w:space="0"/>
            </w:tcBorders>
            <w:shd w:val="clear" w:color="auto" w:fill="auto"/>
            <w:vAlign w:val="center"/>
          </w:tcPr>
          <w:p w14:paraId="3F5A16C0">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P23 市人民政府或应急指挥机构组织气象、民政、自然资源、住房城乡建设、水利、财政、审计部门等有关部门进行气象灾害情况调查。</w:t>
            </w:r>
          </w:p>
        </w:tc>
      </w:tr>
      <w:tr w14:paraId="1806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bottom w:val="single" w:color="auto" w:sz="4" w:space="0"/>
            </w:tcBorders>
            <w:shd w:val="clear" w:color="auto" w:fill="auto"/>
            <w:vAlign w:val="center"/>
          </w:tcPr>
          <w:p w14:paraId="630750B4">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4935" w:type="dxa"/>
            <w:tcBorders>
              <w:top w:val="single" w:color="auto" w:sz="4" w:space="0"/>
              <w:bottom w:val="single" w:color="auto" w:sz="4" w:space="0"/>
            </w:tcBorders>
            <w:shd w:val="clear" w:color="auto" w:fill="auto"/>
            <w:vAlign w:val="center"/>
          </w:tcPr>
          <w:p w14:paraId="549F2B7E">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补充预案适用时效、范围各乡镇、苏木、机关科室、企事业单位、社会团体等根据本预案编制相应区域XXX灾害应急预案，并定期组织演练。</w:t>
            </w:r>
          </w:p>
        </w:tc>
        <w:tc>
          <w:tcPr>
            <w:tcW w:w="3588" w:type="dxa"/>
            <w:tcBorders>
              <w:top w:val="single" w:color="auto" w:sz="4" w:space="0"/>
              <w:bottom w:val="single" w:color="auto" w:sz="4" w:space="0"/>
            </w:tcBorders>
            <w:shd w:val="clear" w:color="auto" w:fill="auto"/>
            <w:vAlign w:val="center"/>
          </w:tcPr>
          <w:p w14:paraId="61A60248">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P27 7.3预案适用时效</w:t>
            </w:r>
          </w:p>
        </w:tc>
      </w:tr>
    </w:tbl>
    <w:p w14:paraId="29C49520">
      <w:pPr>
        <w:pageBreakBefore w:val="0"/>
        <w:kinsoku/>
        <w:wordWrap/>
        <w:autoSpaceDE/>
        <w:autoSpaceDN/>
        <w:bidi w:val="0"/>
        <w:adjustRightInd/>
        <w:snapToGrid/>
        <w:spacing w:line="600" w:lineRule="atLeast"/>
        <w:rPr>
          <w:rFonts w:hint="default"/>
          <w:lang w:val="en-US" w:eastAsia="zh-CN"/>
        </w:rPr>
      </w:pPr>
    </w:p>
    <w:p w14:paraId="11BF7BEF">
      <w:pPr>
        <w:pageBreakBefore w:val="0"/>
        <w:kinsoku/>
        <w:wordWrap/>
        <w:autoSpaceDE/>
        <w:autoSpaceDN/>
        <w:bidi w:val="0"/>
        <w:adjustRightInd/>
        <w:snapToGrid/>
        <w:spacing w:line="600" w:lineRule="atLeast"/>
        <w:rPr>
          <w:rFonts w:hint="default"/>
          <w:lang w:val="en-US" w:eastAsia="zh-CN"/>
        </w:rPr>
      </w:pPr>
    </w:p>
    <w:p w14:paraId="0E851DFE">
      <w:pPr>
        <w:pageBreakBefore w:val="0"/>
        <w:kinsoku/>
        <w:wordWrap/>
        <w:autoSpaceDE/>
        <w:autoSpaceDN/>
        <w:bidi w:val="0"/>
        <w:adjustRightInd/>
        <w:snapToGrid/>
        <w:spacing w:line="600" w:lineRule="atLeast"/>
        <w:jc w:val="left"/>
        <w:rPr>
          <w:rFonts w:hint="default"/>
          <w:lang w:val="en-US" w:eastAsia="zh-CN"/>
        </w:rPr>
      </w:pPr>
    </w:p>
    <w:tbl>
      <w:tblPr>
        <w:tblStyle w:val="16"/>
        <w:tblpPr w:leftFromText="180" w:rightFromText="180" w:vertAnchor="page" w:horzAnchor="page" w:tblpX="1459" w:tblpY="2255"/>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935"/>
        <w:gridCol w:w="3588"/>
      </w:tblGrid>
      <w:tr w14:paraId="62F8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340" w:type="dxa"/>
            <w:gridSpan w:val="3"/>
            <w:tcBorders>
              <w:top w:val="nil"/>
              <w:left w:val="nil"/>
              <w:bottom w:val="single" w:color="auto" w:sz="4" w:space="0"/>
              <w:right w:val="nil"/>
            </w:tcBorders>
            <w:shd w:val="clear" w:color="auto" w:fill="auto"/>
            <w:vAlign w:val="center"/>
          </w:tcPr>
          <w:p w14:paraId="6382FF84">
            <w:pPr>
              <w:pageBreakBefore w:val="0"/>
              <w:kinsoku/>
              <w:wordWrap/>
              <w:autoSpaceDE/>
              <w:autoSpaceDN/>
              <w:bidi w:val="0"/>
              <w:adjustRightInd/>
              <w:snapToGrid/>
              <w:spacing w:line="600" w:lineRule="atLeast"/>
              <w:jc w:val="center"/>
              <w:rPr>
                <w:rFonts w:hint="default" w:ascii="黑体" w:hAnsi="黑体" w:eastAsia="黑体" w:cs="黑体"/>
                <w:b w:val="0"/>
                <w:bCs w:val="0"/>
                <w:color w:val="000000"/>
                <w:kern w:val="2"/>
                <w:sz w:val="32"/>
                <w:szCs w:val="32"/>
                <w:lang w:val="en-US" w:eastAsia="zh-CN" w:bidi="ar-SA"/>
              </w:rPr>
            </w:pPr>
            <w:r>
              <w:rPr>
                <w:rFonts w:hint="default" w:ascii="黑体" w:hAnsi="黑体" w:eastAsia="黑体" w:cs="黑体"/>
                <w:b w:val="0"/>
                <w:bCs w:val="0"/>
                <w:color w:val="000000"/>
                <w:kern w:val="2"/>
                <w:sz w:val="32"/>
                <w:szCs w:val="32"/>
                <w:lang w:val="en-US" w:eastAsia="zh-CN" w:bidi="ar-SA"/>
              </w:rPr>
              <w:t>额尔古纳市汛情转移民众</w:t>
            </w:r>
            <w:r>
              <w:rPr>
                <w:rFonts w:hint="eastAsia" w:ascii="黑体" w:hAnsi="黑体" w:eastAsia="黑体" w:cs="黑体"/>
                <w:b w:val="0"/>
                <w:bCs w:val="0"/>
                <w:color w:val="000000"/>
                <w:kern w:val="2"/>
                <w:sz w:val="32"/>
                <w:szCs w:val="32"/>
                <w:lang w:val="en-US" w:eastAsia="zh-CN" w:bidi="ar-SA"/>
              </w:rPr>
              <w:t>应急</w:t>
            </w:r>
            <w:r>
              <w:rPr>
                <w:rFonts w:hint="default" w:ascii="黑体" w:hAnsi="黑体" w:eastAsia="黑体" w:cs="黑体"/>
                <w:b w:val="0"/>
                <w:bCs w:val="0"/>
                <w:color w:val="000000"/>
                <w:kern w:val="2"/>
                <w:sz w:val="32"/>
                <w:szCs w:val="32"/>
                <w:lang w:val="en-US" w:eastAsia="zh-CN" w:bidi="ar-SA"/>
              </w:rPr>
              <w:t>预案</w:t>
            </w:r>
          </w:p>
          <w:p w14:paraId="6FD8D8E3">
            <w:pPr>
              <w:pageBreakBefore w:val="0"/>
              <w:kinsoku/>
              <w:wordWrap/>
              <w:autoSpaceDE/>
              <w:autoSpaceDN/>
              <w:bidi w:val="0"/>
              <w:adjustRightInd/>
              <w:snapToGrid/>
              <w:spacing w:line="600" w:lineRule="atLeast"/>
              <w:jc w:val="center"/>
              <w:rPr>
                <w:rFonts w:hint="default" w:ascii="Times New Roman" w:hAnsi="Times New Roman" w:eastAsia="宋体" w:cs="Times New Roman"/>
                <w:kern w:val="0"/>
                <w:sz w:val="24"/>
                <w:szCs w:val="24"/>
              </w:rPr>
            </w:pPr>
            <w:r>
              <w:rPr>
                <w:rFonts w:hint="default" w:ascii="黑体" w:hAnsi="黑体" w:eastAsia="黑体" w:cs="黑体"/>
                <w:b w:val="0"/>
                <w:bCs w:val="0"/>
                <w:color w:val="000000"/>
                <w:kern w:val="2"/>
                <w:sz w:val="32"/>
                <w:szCs w:val="32"/>
                <w:lang w:val="en-US" w:eastAsia="zh-CN" w:bidi="ar-SA"/>
              </w:rPr>
              <w:t>专家意见修改情况说明</w:t>
            </w:r>
          </w:p>
        </w:tc>
      </w:tr>
      <w:tr w14:paraId="0C68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340" w:type="dxa"/>
            <w:gridSpan w:val="3"/>
            <w:tcBorders>
              <w:top w:val="single" w:color="auto" w:sz="4" w:space="0"/>
            </w:tcBorders>
            <w:shd w:val="clear" w:color="auto" w:fill="auto"/>
            <w:vAlign w:val="center"/>
          </w:tcPr>
          <w:p w14:paraId="7ABAA086">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审核意见</w:t>
            </w:r>
          </w:p>
        </w:tc>
      </w:tr>
      <w:tr w14:paraId="5355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tcBorders>
            <w:shd w:val="clear" w:color="auto" w:fill="auto"/>
            <w:vAlign w:val="center"/>
          </w:tcPr>
          <w:p w14:paraId="51A5CE97">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序号</w:t>
            </w:r>
          </w:p>
        </w:tc>
        <w:tc>
          <w:tcPr>
            <w:tcW w:w="4935" w:type="dxa"/>
            <w:tcBorders>
              <w:top w:val="single" w:color="auto" w:sz="4" w:space="0"/>
            </w:tcBorders>
            <w:shd w:val="clear" w:color="auto" w:fill="auto"/>
            <w:vAlign w:val="center"/>
          </w:tcPr>
          <w:p w14:paraId="41C1E92D">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专家</w:t>
            </w:r>
            <w:r>
              <w:rPr>
                <w:rFonts w:hint="eastAsia" w:ascii="宋体" w:hAnsi="宋体" w:eastAsia="宋体" w:cs="宋体"/>
                <w:sz w:val="21"/>
                <w:szCs w:val="21"/>
                <w:highlight w:val="none"/>
                <w:lang w:val="en-US" w:eastAsia="zh-CN"/>
              </w:rPr>
              <w:t>组</w:t>
            </w:r>
            <w:r>
              <w:rPr>
                <w:rFonts w:hint="default" w:ascii="宋体" w:hAnsi="宋体" w:eastAsia="宋体" w:cs="宋体"/>
                <w:sz w:val="21"/>
                <w:szCs w:val="21"/>
                <w:highlight w:val="none"/>
                <w:lang w:val="en-US" w:eastAsia="zh-CN"/>
              </w:rPr>
              <w:t>审查意见及建议</w:t>
            </w:r>
          </w:p>
        </w:tc>
        <w:tc>
          <w:tcPr>
            <w:tcW w:w="3588" w:type="dxa"/>
            <w:tcBorders>
              <w:top w:val="single" w:color="auto" w:sz="4" w:space="0"/>
            </w:tcBorders>
            <w:shd w:val="clear" w:color="auto" w:fill="auto"/>
            <w:vAlign w:val="center"/>
          </w:tcPr>
          <w:p w14:paraId="422261C7">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修改说明</w:t>
            </w:r>
          </w:p>
        </w:tc>
      </w:tr>
      <w:tr w14:paraId="15CE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17" w:type="dxa"/>
            <w:tcBorders>
              <w:top w:val="single" w:color="auto" w:sz="4" w:space="0"/>
              <w:bottom w:val="single" w:color="auto" w:sz="4" w:space="0"/>
            </w:tcBorders>
            <w:shd w:val="clear" w:color="auto" w:fill="auto"/>
            <w:vAlign w:val="center"/>
          </w:tcPr>
          <w:p w14:paraId="7BB2AF23">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4935" w:type="dxa"/>
            <w:tcBorders>
              <w:top w:val="single" w:color="auto" w:sz="4" w:space="0"/>
              <w:bottom w:val="single" w:color="auto" w:sz="4" w:space="0"/>
            </w:tcBorders>
            <w:shd w:val="clear" w:color="auto" w:fill="auto"/>
            <w:vAlign w:val="center"/>
          </w:tcPr>
          <w:p w14:paraId="0B37091B">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防（受）汛重点单位在雨季实行24小时值守；</w:t>
            </w:r>
          </w:p>
        </w:tc>
        <w:tc>
          <w:tcPr>
            <w:tcW w:w="3588" w:type="dxa"/>
            <w:tcBorders>
              <w:top w:val="single" w:color="auto" w:sz="4" w:space="0"/>
              <w:bottom w:val="single" w:color="auto" w:sz="4" w:space="0"/>
            </w:tcBorders>
            <w:shd w:val="clear" w:color="auto" w:fill="auto"/>
            <w:vAlign w:val="center"/>
          </w:tcPr>
          <w:p w14:paraId="0CBDCA80">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P13 防（受）汛重点单位在雨季实行24小时值守。</w:t>
            </w:r>
          </w:p>
        </w:tc>
      </w:tr>
      <w:tr w14:paraId="12D3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7" w:type="dxa"/>
            <w:tcBorders>
              <w:top w:val="single" w:color="auto" w:sz="4" w:space="0"/>
              <w:bottom w:val="single" w:color="auto" w:sz="4" w:space="0"/>
            </w:tcBorders>
            <w:shd w:val="clear" w:color="auto" w:fill="auto"/>
            <w:vAlign w:val="center"/>
          </w:tcPr>
          <w:p w14:paraId="737C66FA">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4935" w:type="dxa"/>
            <w:tcBorders>
              <w:top w:val="single" w:color="auto" w:sz="4" w:space="0"/>
              <w:bottom w:val="single" w:color="auto" w:sz="4" w:space="0"/>
            </w:tcBorders>
            <w:shd w:val="clear" w:color="auto" w:fill="auto"/>
            <w:vAlign w:val="center"/>
          </w:tcPr>
          <w:p w14:paraId="235D3F9A">
            <w:pPr>
              <w:pageBreakBefore w:val="0"/>
              <w:kinsoku/>
              <w:wordWrap/>
              <w:autoSpaceDE/>
              <w:autoSpaceDN/>
              <w:bidi w:val="0"/>
              <w:adjustRightInd/>
              <w:snapToGrid/>
              <w:spacing w:line="600" w:lineRule="atLeast"/>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有问题或笔误处标注在文字中了。</w:t>
            </w:r>
          </w:p>
        </w:tc>
        <w:tc>
          <w:tcPr>
            <w:tcW w:w="3588" w:type="dxa"/>
            <w:tcBorders>
              <w:top w:val="single" w:color="auto" w:sz="4" w:space="0"/>
              <w:bottom w:val="single" w:color="auto" w:sz="4" w:space="0"/>
            </w:tcBorders>
            <w:shd w:val="clear" w:color="auto" w:fill="auto"/>
            <w:vAlign w:val="center"/>
          </w:tcPr>
          <w:p w14:paraId="256334B3">
            <w:pPr>
              <w:pageBreakBefore w:val="0"/>
              <w:kinsoku/>
              <w:wordWrap/>
              <w:autoSpaceDE/>
              <w:autoSpaceDN/>
              <w:bidi w:val="0"/>
              <w:adjustRightInd/>
              <w:snapToGrid/>
              <w:spacing w:line="600" w:lineRule="atLeast"/>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已修改。</w:t>
            </w:r>
          </w:p>
        </w:tc>
      </w:tr>
    </w:tbl>
    <w:p w14:paraId="31FAA63C">
      <w:pPr>
        <w:pageBreakBefore w:val="0"/>
        <w:kinsoku/>
        <w:wordWrap/>
        <w:autoSpaceDE/>
        <w:autoSpaceDN/>
        <w:bidi w:val="0"/>
        <w:adjustRightInd/>
        <w:snapToGrid/>
        <w:spacing w:line="600" w:lineRule="atLeast"/>
        <w:rPr>
          <w:rFonts w:hint="eastAsia"/>
          <w:lang w:val="en-US" w:eastAsia="zh-CN"/>
        </w:rPr>
      </w:pPr>
    </w:p>
    <w:p w14:paraId="5A8CAB2E">
      <w:pPr>
        <w:pStyle w:val="2"/>
        <w:rPr>
          <w:rFonts w:hint="eastAsia"/>
          <w:lang w:val="en-US" w:eastAsia="zh-CN"/>
        </w:rPr>
      </w:pPr>
    </w:p>
    <w:p w14:paraId="6B39B094">
      <w:pPr>
        <w:rPr>
          <w:rFonts w:hint="eastAsia"/>
          <w:lang w:val="en-US" w:eastAsia="zh-CN"/>
        </w:rPr>
      </w:pPr>
    </w:p>
    <w:p w14:paraId="181A9619">
      <w:pPr>
        <w:pStyle w:val="2"/>
        <w:rPr>
          <w:rFonts w:hint="eastAsia"/>
          <w:lang w:val="en-US" w:eastAsia="zh-CN"/>
        </w:rPr>
      </w:pPr>
    </w:p>
    <w:p w14:paraId="09BB5BD2">
      <w:pPr>
        <w:rPr>
          <w:rFonts w:hint="eastAsia"/>
          <w:lang w:val="en-US" w:eastAsia="zh-CN"/>
        </w:rPr>
      </w:pPr>
    </w:p>
    <w:p w14:paraId="47D3460E">
      <w:pPr>
        <w:pStyle w:val="2"/>
        <w:rPr>
          <w:rFonts w:hint="eastAsia"/>
          <w:lang w:val="en-US" w:eastAsia="zh-CN"/>
        </w:rPr>
      </w:pPr>
    </w:p>
    <w:p w14:paraId="4F769A5A">
      <w:pPr>
        <w:rPr>
          <w:rFonts w:hint="eastAsia"/>
          <w:lang w:val="en-US" w:eastAsia="zh-CN"/>
        </w:rPr>
      </w:pPr>
    </w:p>
    <w:p w14:paraId="3DED7589">
      <w:pPr>
        <w:pStyle w:val="2"/>
        <w:rPr>
          <w:rFonts w:hint="eastAsia"/>
          <w:lang w:val="en-US" w:eastAsia="zh-CN"/>
        </w:rPr>
      </w:pPr>
    </w:p>
    <w:p w14:paraId="08E6D030">
      <w:pPr>
        <w:rPr>
          <w:rFonts w:hint="eastAsia"/>
          <w:lang w:val="en-US" w:eastAsia="zh-CN"/>
        </w:rPr>
      </w:pPr>
    </w:p>
    <w:p w14:paraId="44C047D2">
      <w:pPr>
        <w:pStyle w:val="2"/>
        <w:rPr>
          <w:rFonts w:hint="eastAsia"/>
          <w:lang w:val="en-US" w:eastAsia="zh-CN"/>
        </w:rPr>
      </w:pPr>
    </w:p>
    <w:p w14:paraId="6B18F699">
      <w:pPr>
        <w:rPr>
          <w:rFonts w:hint="eastAsia"/>
          <w:lang w:val="en-US" w:eastAsia="zh-CN"/>
        </w:rPr>
      </w:pPr>
    </w:p>
    <w:p w14:paraId="6F6BA859">
      <w:pPr>
        <w:pStyle w:val="2"/>
        <w:rPr>
          <w:rFonts w:hint="eastAsia"/>
          <w:lang w:val="en-US" w:eastAsia="zh-CN"/>
        </w:rPr>
      </w:pPr>
    </w:p>
    <w:p w14:paraId="04F8C97C">
      <w:pPr>
        <w:rPr>
          <w:rFonts w:hint="eastAsia"/>
          <w:lang w:val="en-US" w:eastAsia="zh-CN"/>
        </w:rPr>
      </w:pPr>
    </w:p>
    <w:p w14:paraId="1F0920DD">
      <w:pPr>
        <w:pStyle w:val="2"/>
        <w:rPr>
          <w:rFonts w:hint="eastAsia"/>
          <w:lang w:val="en-US" w:eastAsia="zh-CN"/>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4C54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Borders>
              <w:top w:val="single" w:color="auto" w:sz="12" w:space="0"/>
              <w:left w:val="nil"/>
              <w:bottom w:val="single" w:color="auto" w:sz="12" w:space="0"/>
              <w:right w:val="nil"/>
            </w:tcBorders>
          </w:tcPr>
          <w:p w14:paraId="68FD8DC2">
            <w:pPr>
              <w:pStyle w:val="7"/>
              <w:keepNext w:val="0"/>
              <w:keepLines w:val="0"/>
              <w:pageBreakBefore w:val="0"/>
              <w:widowControl w:val="0"/>
              <w:kinsoku/>
              <w:overflowPunct/>
              <w:topLinePunct w:val="0"/>
              <w:autoSpaceDE/>
              <w:autoSpaceDN/>
              <w:bidi w:val="0"/>
              <w:adjustRightInd/>
              <w:snapToGrid/>
              <w:spacing w:line="240" w:lineRule="auto"/>
              <w:jc w:val="both"/>
              <w:textAlignment w:val="auto"/>
              <w:rPr>
                <w:rFonts w:hint="default" w:ascii="仿宋_GB2312" w:hAnsi="仿宋_GB2312" w:eastAsia="仿宋_GB2312" w:cs="仿宋_GB2312"/>
                <w:sz w:val="32"/>
                <w:vertAlign w:val="baseline"/>
                <w:lang w:val="en-US" w:eastAsia="zh-CN"/>
              </w:rPr>
            </w:pPr>
            <w:r>
              <w:rPr>
                <w:rFonts w:hint="eastAsia" w:ascii="仿宋_GB2312" w:hAnsi="仿宋_GB2312" w:eastAsia="仿宋_GB2312" w:cs="仿宋_GB2312"/>
                <w:sz w:val="32"/>
                <w:vertAlign w:val="baseline"/>
                <w:lang w:val="en-US" w:eastAsia="zh-CN"/>
              </w:rPr>
              <w:t>额尔古纳市人民政府办公室             2025年4月7日印发</w:t>
            </w:r>
          </w:p>
        </w:tc>
      </w:tr>
    </w:tbl>
    <w:p w14:paraId="5F7B76CD">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印4份</w:t>
      </w: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F6F37BE-6755-4BB2-8EC4-21E1873A36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81F03372-79AC-4959-BB3B-C894B75E24B3}"/>
  </w:font>
  <w:font w:name="仿宋_GB2312">
    <w:panose1 w:val="02010609030101010101"/>
    <w:charset w:val="86"/>
    <w:family w:val="auto"/>
    <w:pitch w:val="default"/>
    <w:sig w:usb0="00000001" w:usb1="080E0000" w:usb2="00000000" w:usb3="00000000" w:csb0="00040000" w:csb1="00000000"/>
    <w:embedRegular r:id="rId3" w:fontKey="{1D648C7A-E021-42BC-9D51-7510717A3E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93803">
    <w:pPr>
      <w:pStyle w:val="12"/>
    </w:pPr>
    <w:r>
      <w:rPr>
        <w:sz w:val="18"/>
      </w:rPr>
      <mc:AlternateContent>
        <mc:Choice Requires="wps">
          <w:drawing>
            <wp:anchor distT="0" distB="0" distL="114300" distR="114300" simplePos="0" relativeHeight="251661312" behindDoc="0" locked="0" layoutInCell="1" allowOverlap="1">
              <wp:simplePos x="0" y="0"/>
              <wp:positionH relativeFrom="margin">
                <wp:posOffset>5441315</wp:posOffset>
              </wp:positionH>
              <wp:positionV relativeFrom="paragraph">
                <wp:posOffset>-393065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3FBA3">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28.45pt;margin-top:-30.95pt;height:144pt;width:144pt;mso-position-horizontal-relative:margin;mso-wrap-style:none;z-index:251661312;mso-width-relative:page;mso-height-relative:page;" filled="f" stroked="f" coordsize="21600,21600" o:gfxdata="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sFCL9gAAAAMAQAADwAAAAAAAAABACAAAAAiAAAAZHJzL2Rvd25yZXYueG1s&#10;UEsBAhQAFAAAAAgAh07iQOsAOHoxAgAAYwQAAA4AAAAAAAAAAQAgAAAAJwEAAGRycy9lMm9Eb2Mu&#10;eG1sUEsFBgAAAAAGAAYAWQEAAMoFAAAAAA==&#10;">
              <v:fill on="f" focussize="0,0"/>
              <v:stroke on="f" weight="0.5pt"/>
              <v:imagedata o:title=""/>
              <o:lock v:ext="edit" aspectratio="f"/>
              <v:textbox inset="0mm,0mm,0mm,0mm" style="mso-fit-shape-to-text:t;">
                <w:txbxContent>
                  <w:p w14:paraId="0573FBA3">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27D1601"/>
    <w:rsid w:val="046A08A7"/>
    <w:rsid w:val="0578144E"/>
    <w:rsid w:val="073035E9"/>
    <w:rsid w:val="089E3371"/>
    <w:rsid w:val="0BB10F53"/>
    <w:rsid w:val="0BE0580C"/>
    <w:rsid w:val="0E2300F8"/>
    <w:rsid w:val="0EEE7499"/>
    <w:rsid w:val="13662116"/>
    <w:rsid w:val="1404150D"/>
    <w:rsid w:val="1660788A"/>
    <w:rsid w:val="18171EE7"/>
    <w:rsid w:val="18E45469"/>
    <w:rsid w:val="18E92D50"/>
    <w:rsid w:val="19341F4D"/>
    <w:rsid w:val="1A597398"/>
    <w:rsid w:val="1A733524"/>
    <w:rsid w:val="1AD068A1"/>
    <w:rsid w:val="1C556E10"/>
    <w:rsid w:val="1CAF4BEC"/>
    <w:rsid w:val="1E8B194D"/>
    <w:rsid w:val="204C410C"/>
    <w:rsid w:val="2374427A"/>
    <w:rsid w:val="24E51352"/>
    <w:rsid w:val="253B4663"/>
    <w:rsid w:val="26E93224"/>
    <w:rsid w:val="284A4E27"/>
    <w:rsid w:val="286F46D2"/>
    <w:rsid w:val="29995DFC"/>
    <w:rsid w:val="2A036D77"/>
    <w:rsid w:val="2B36079A"/>
    <w:rsid w:val="2B645DAE"/>
    <w:rsid w:val="2C51747A"/>
    <w:rsid w:val="2CBB66CA"/>
    <w:rsid w:val="2D4B38B1"/>
    <w:rsid w:val="2D6C1AB9"/>
    <w:rsid w:val="325157AA"/>
    <w:rsid w:val="339056D2"/>
    <w:rsid w:val="34343BE1"/>
    <w:rsid w:val="34B12DA7"/>
    <w:rsid w:val="36DD11DE"/>
    <w:rsid w:val="37C1660C"/>
    <w:rsid w:val="3866684B"/>
    <w:rsid w:val="3A59283C"/>
    <w:rsid w:val="3A85411F"/>
    <w:rsid w:val="3B066504"/>
    <w:rsid w:val="3C4930FA"/>
    <w:rsid w:val="3C5D7A3D"/>
    <w:rsid w:val="3F902B34"/>
    <w:rsid w:val="40532D66"/>
    <w:rsid w:val="43624B88"/>
    <w:rsid w:val="44984439"/>
    <w:rsid w:val="4542350F"/>
    <w:rsid w:val="465E2663"/>
    <w:rsid w:val="467A5D80"/>
    <w:rsid w:val="49031FCB"/>
    <w:rsid w:val="4C2519B4"/>
    <w:rsid w:val="4CAE17C9"/>
    <w:rsid w:val="4DB85E85"/>
    <w:rsid w:val="4E534AFF"/>
    <w:rsid w:val="5031301D"/>
    <w:rsid w:val="50760648"/>
    <w:rsid w:val="50B362ED"/>
    <w:rsid w:val="50BA5F1A"/>
    <w:rsid w:val="50FB449F"/>
    <w:rsid w:val="51E92EE6"/>
    <w:rsid w:val="531809FB"/>
    <w:rsid w:val="54221FB5"/>
    <w:rsid w:val="54F20C3C"/>
    <w:rsid w:val="55033E8E"/>
    <w:rsid w:val="552F0A0A"/>
    <w:rsid w:val="569819EA"/>
    <w:rsid w:val="56A018C4"/>
    <w:rsid w:val="57D80AE5"/>
    <w:rsid w:val="57EF2FFD"/>
    <w:rsid w:val="5A374AD6"/>
    <w:rsid w:val="5C341831"/>
    <w:rsid w:val="5C3F26AF"/>
    <w:rsid w:val="5C9E63EF"/>
    <w:rsid w:val="5D55380D"/>
    <w:rsid w:val="5F173279"/>
    <w:rsid w:val="64907C5C"/>
    <w:rsid w:val="650D109B"/>
    <w:rsid w:val="67B313FA"/>
    <w:rsid w:val="69434F94"/>
    <w:rsid w:val="6A0F2078"/>
    <w:rsid w:val="6ADB196E"/>
    <w:rsid w:val="6B4C5535"/>
    <w:rsid w:val="6B7367AD"/>
    <w:rsid w:val="7295744E"/>
    <w:rsid w:val="741D495F"/>
    <w:rsid w:val="74A65F87"/>
    <w:rsid w:val="74CD4060"/>
    <w:rsid w:val="760A5E64"/>
    <w:rsid w:val="77072924"/>
    <w:rsid w:val="78921231"/>
    <w:rsid w:val="79DF2984"/>
    <w:rsid w:val="7BE85DE7"/>
    <w:rsid w:val="7C2C0E95"/>
    <w:rsid w:val="7C9F662A"/>
    <w:rsid w:val="7CF75118"/>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Body Text"/>
    <w:basedOn w:val="1"/>
    <w:next w:val="8"/>
    <w:autoRedefine/>
    <w:qFormat/>
    <w:uiPriority w:val="0"/>
    <w:pPr>
      <w:jc w:val="center"/>
    </w:pPr>
    <w:rPr>
      <w:rFonts w:eastAsia="黑体"/>
      <w:sz w:val="36"/>
    </w:rPr>
  </w:style>
  <w:style w:type="paragraph" w:customStyle="1" w:styleId="8">
    <w:name w:val="样式 首行缩进:  2 字符"/>
    <w:next w:val="9"/>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9">
    <w:name w:val="toc 9"/>
    <w:basedOn w:val="1"/>
    <w:next w:val="1"/>
    <w:autoRedefine/>
    <w:qFormat/>
    <w:uiPriority w:val="0"/>
    <w:pPr>
      <w:ind w:left="3360" w:leftChars="1600"/>
    </w:pPr>
    <w:rPr>
      <w:rFonts w:ascii="Calibri" w:hAnsi="Calibri" w:cs="黑体"/>
    </w:rPr>
  </w:style>
  <w:style w:type="paragraph" w:styleId="10">
    <w:name w:val="Body Text Indent"/>
    <w:basedOn w:val="1"/>
    <w:next w:val="11"/>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1">
    <w:name w:val="Body Text First Indent 2"/>
    <w:basedOn w:val="10"/>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pPr>
      <w:tabs>
        <w:tab w:val="right" w:leader="dot" w:pos="9185"/>
      </w:tabs>
      <w:spacing w:line="360" w:lineRule="auto"/>
    </w:pPr>
    <w:rPr>
      <w:rFonts w:ascii="宋体" w:hAnsi="宋体" w:eastAsia="宋体" w:cs="宋体"/>
      <w:b/>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管理正文"/>
    <w:basedOn w:val="1"/>
    <w:autoRedefine/>
    <w:qFormat/>
    <w:uiPriority w:val="0"/>
    <w:pPr>
      <w:spacing w:line="360" w:lineRule="auto"/>
      <w:ind w:firstLine="431"/>
    </w:pPr>
    <w:rPr>
      <w:sz w:val="24"/>
      <w:szCs w:val="24"/>
    </w:rPr>
  </w:style>
  <w:style w:type="paragraph" w:customStyle="1" w:styleId="20">
    <w:name w:val="li_正文"/>
    <w:basedOn w:val="1"/>
    <w:qFormat/>
    <w:uiPriority w:val="0"/>
    <w:pPr>
      <w:tabs>
        <w:tab w:val="left" w:pos="2574"/>
      </w:tabs>
      <w:overflowPunct w:val="0"/>
      <w:topLinePunct/>
      <w:ind w:firstLine="480"/>
    </w:pPr>
    <w:rPr>
      <w:kern w:val="2"/>
      <w:sz w:val="28"/>
      <w:szCs w:val="28"/>
    </w:rPr>
  </w:style>
  <w:style w:type="paragraph" w:customStyle="1" w:styleId="21">
    <w:name w:val="（*）"/>
    <w:basedOn w:val="1"/>
    <w:autoRedefine/>
    <w:qFormat/>
    <w:uiPriority w:val="0"/>
    <w:pPr>
      <w:ind w:firstLine="448" w:firstLineChars="160"/>
    </w:pPr>
    <w:rPr>
      <w:rFonts w:ascii="宋体" w:hAnsi="宋体" w:eastAsia="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10989</Words>
  <Characters>11806</Characters>
  <Lines>0</Lines>
  <Paragraphs>0</Paragraphs>
  <TotalTime>2</TotalTime>
  <ScaleCrop>false</ScaleCrop>
  <LinksUpToDate>false</LinksUpToDate>
  <CharactersWithSpaces>11980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2025-04-07T08:49:00Z</cp:lastPrinted>
  <dcterms:modified xsi:type="dcterms:W3CDTF">2025-04-08T07:37:55Z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0B43CAAA167D48E5927C71E794937D59_13</vt:lpwstr>
  </property>
  <property fmtid="{D5CDD505-2E9C-101B-9397-08002B2CF9AE}" pid="4" name="KSOTemplateDocerSaveRecord">
    <vt:lpwstr>eyJoZGlkIjoiZDYzZDU2MjRhNzkxODkzMWVlZTllZGFlNWQ4NjJlM2MiLCJ1c2VySWQiOiIxNDQyMDk5Nzg4In0=</vt:lpwstr>
  </property>
</Properties>
</file>