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E8C99">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 xml:space="preserve">                                </w:t>
      </w:r>
    </w:p>
    <w:p w14:paraId="7507CF9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sz w:val="32"/>
          <w:szCs w:val="32"/>
          <w:lang w:val="en-US" w:eastAsia="zh-CN"/>
        </w:rPr>
      </w:pPr>
    </w:p>
    <w:p w14:paraId="62CC270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sz w:val="32"/>
          <w:szCs w:val="32"/>
          <w:lang w:val="en-US" w:eastAsia="zh-CN"/>
        </w:rPr>
      </w:pPr>
    </w:p>
    <w:p w14:paraId="1FA58859">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32"/>
          <w:szCs w:val="32"/>
          <w:lang w:val="en-US" w:eastAsia="zh-CN"/>
        </w:rPr>
        <w:t xml:space="preserve">                                        </w:t>
      </w:r>
      <w:r>
        <w:rPr>
          <w:rFonts w:hint="eastAsia" w:ascii="仿宋" w:hAnsi="仿宋" w:eastAsia="仿宋" w:cs="仿宋"/>
          <w:b w:val="0"/>
          <w:bCs w:val="0"/>
          <w:sz w:val="32"/>
          <w:szCs w:val="32"/>
          <w:lang w:val="en-US" w:eastAsia="zh-CN"/>
        </w:rPr>
        <w:t xml:space="preserve"> </w:t>
      </w:r>
    </w:p>
    <w:p w14:paraId="3392DF5E">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14:paraId="2CA70AA5">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14:paraId="402A8082">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额尔古纳市财政局开展代理记账机构</w:t>
      </w:r>
    </w:p>
    <w:p w14:paraId="12C18762">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检查工作的通知</w:t>
      </w:r>
    </w:p>
    <w:p w14:paraId="532DE442">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_GB2312" w:hAnsi="仿宋_GB2312" w:eastAsia="仿宋_GB2312" w:cs="仿宋_GB2312"/>
          <w:sz w:val="30"/>
          <w:szCs w:val="30"/>
        </w:rPr>
      </w:pPr>
    </w:p>
    <w:p w14:paraId="01DF5001">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按照《代理记账管理办法》 (财政部令第 98 号)、《中华人民共和国行政许可法》等相关法律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财政局</w:t>
      </w:r>
      <w:r>
        <w:rPr>
          <w:rFonts w:hint="eastAsia" w:ascii="仿宋_GB2312" w:hAnsi="仿宋_GB2312" w:eastAsia="仿宋_GB2312" w:cs="仿宋_GB2312"/>
          <w:sz w:val="32"/>
          <w:szCs w:val="32"/>
          <w:lang w:val="en-US" w:eastAsia="zh-CN"/>
        </w:rPr>
        <w:t>联合市</w:t>
      </w:r>
      <w:bookmarkStart w:id="0" w:name="_GoBack"/>
      <w:bookmarkEnd w:id="0"/>
      <w:r>
        <w:rPr>
          <w:rFonts w:hint="eastAsia" w:ascii="仿宋_GB2312" w:hAnsi="仿宋_GB2312" w:eastAsia="仿宋_GB2312" w:cs="仿宋_GB2312"/>
          <w:sz w:val="32"/>
          <w:szCs w:val="32"/>
          <w:lang w:val="en-US" w:eastAsia="zh-CN"/>
        </w:rPr>
        <w:t>市场监督管理局</w:t>
      </w:r>
      <w:r>
        <w:rPr>
          <w:rFonts w:hint="eastAsia" w:ascii="仿宋_GB2312" w:hAnsi="仿宋_GB2312" w:eastAsia="仿宋_GB2312" w:cs="仿宋_GB2312"/>
          <w:sz w:val="32"/>
          <w:szCs w:val="32"/>
        </w:rPr>
        <w:t>于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年5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rPr>
        <w:t>至</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16日</w:t>
      </w:r>
      <w:r>
        <w:rPr>
          <w:rFonts w:hint="eastAsia" w:ascii="仿宋_GB2312" w:hAnsi="仿宋_GB2312" w:eastAsia="仿宋_GB2312" w:cs="仿宋_GB2312"/>
          <w:sz w:val="32"/>
          <w:szCs w:val="32"/>
        </w:rPr>
        <w:t>开展202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年代理记账行业违法违规行为专项整治、检查工作。为做好检查工作，自觉接受社会监督，现将有关事项通知如下:</w:t>
      </w:r>
    </w:p>
    <w:p w14:paraId="2A8A4409">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、代理记账机构“双随机、一公开”日常检查</w:t>
      </w:r>
    </w:p>
    <w:p w14:paraId="2A53352D">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为提高代理记账行业监管水平，</w:t>
      </w:r>
      <w:r>
        <w:rPr>
          <w:rFonts w:hint="eastAsia" w:ascii="仿宋_GB2312" w:hAnsi="仿宋_GB2312" w:eastAsia="仿宋_GB2312" w:cs="仿宋_GB2312"/>
          <w:sz w:val="32"/>
          <w:szCs w:val="32"/>
          <w:lang w:val="en-US" w:eastAsia="zh-CN"/>
        </w:rPr>
        <w:t>额尔古纳市</w:t>
      </w:r>
      <w:r>
        <w:rPr>
          <w:rFonts w:hint="eastAsia" w:ascii="仿宋_GB2312" w:hAnsi="仿宋_GB2312" w:eastAsia="仿宋_GB2312" w:cs="仿宋_GB2312"/>
          <w:sz w:val="32"/>
          <w:szCs w:val="32"/>
        </w:rPr>
        <w:t>财政局</w:t>
      </w:r>
      <w:r>
        <w:rPr>
          <w:rFonts w:hint="eastAsia" w:ascii="仿宋_GB2312" w:hAnsi="仿宋_GB2312" w:eastAsia="仿宋_GB2312" w:cs="仿宋_GB2312"/>
          <w:sz w:val="32"/>
          <w:szCs w:val="32"/>
          <w:lang w:val="en-US" w:eastAsia="zh-CN"/>
        </w:rPr>
        <w:t>联合市市场监督管理局</w:t>
      </w:r>
      <w:r>
        <w:rPr>
          <w:rFonts w:hint="eastAsia" w:ascii="仿宋_GB2312" w:hAnsi="仿宋_GB2312" w:eastAsia="仿宋_GB2312" w:cs="仿宋_GB2312"/>
          <w:sz w:val="32"/>
          <w:szCs w:val="32"/>
        </w:rPr>
        <w:t>共同对以下代理记账机构进行现场</w:t>
      </w:r>
      <w:r>
        <w:rPr>
          <w:rFonts w:hint="eastAsia" w:ascii="仿宋_GB2312" w:hAnsi="仿宋_GB2312" w:eastAsia="仿宋_GB2312" w:cs="仿宋_GB2312"/>
          <w:sz w:val="32"/>
          <w:szCs w:val="32"/>
          <w:lang w:val="en-US" w:eastAsia="zh-CN"/>
        </w:rPr>
        <w:t>检查。</w:t>
      </w:r>
    </w:p>
    <w:p w14:paraId="74531FF5">
      <w:pPr>
        <w:keepNext w:val="0"/>
        <w:keepLines w:val="0"/>
        <w:pageBreakBefore w:val="0"/>
        <w:widowControl w:val="0"/>
        <w:kinsoku/>
        <w:wordWrap/>
        <w:overflowPunct/>
        <w:topLinePunct w:val="0"/>
        <w:autoSpaceDE/>
        <w:autoSpaceDN/>
        <w:bidi w:val="0"/>
        <w:adjustRightInd/>
        <w:snapToGrid w:val="0"/>
        <w:spacing w:line="600" w:lineRule="exact"/>
        <w:ind w:firstLine="643" w:firstLineChars="200"/>
        <w:textAlignment w:val="auto"/>
        <w:rPr>
          <w:rFonts w:hint="eastAsia" w:ascii="黑体" w:hAnsi="黑体" w:eastAsia="黑体" w:cs="黑体"/>
          <w:b/>
          <w:bCs/>
          <w:sz w:val="32"/>
          <w:szCs w:val="32"/>
        </w:rPr>
      </w:pPr>
      <w:r>
        <w:rPr>
          <w:rFonts w:hint="eastAsia" w:ascii="黑体" w:hAnsi="黑体" w:eastAsia="黑体" w:cs="黑体"/>
          <w:b/>
          <w:bCs/>
          <w:sz w:val="32"/>
          <w:szCs w:val="32"/>
        </w:rPr>
        <w:t>(一)“双随机、一公开”检查名单</w:t>
      </w:r>
    </w:p>
    <w:p w14:paraId="63542B6C">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额尔古纳市</w:t>
      </w:r>
      <w:r>
        <w:rPr>
          <w:rFonts w:hint="eastAsia"/>
          <w:sz w:val="32"/>
          <w:szCs w:val="32"/>
          <w:lang w:val="en-US" w:eastAsia="zh-CN"/>
        </w:rPr>
        <w:t>金云鼎工作室</w:t>
      </w:r>
    </w:p>
    <w:p w14:paraId="04C20FFA">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额尔古纳市</w:t>
      </w:r>
      <w:r>
        <w:rPr>
          <w:rFonts w:hint="eastAsia"/>
          <w:sz w:val="32"/>
          <w:szCs w:val="32"/>
          <w:lang w:val="en-US" w:eastAsia="zh-CN"/>
        </w:rPr>
        <w:t>金账房财税服务有限公司</w:t>
      </w:r>
    </w:p>
    <w:p w14:paraId="55892730">
      <w:pPr>
        <w:keepNext w:val="0"/>
        <w:keepLines w:val="0"/>
        <w:pageBreakBefore w:val="0"/>
        <w:widowControl w:val="0"/>
        <w:kinsoku/>
        <w:wordWrap/>
        <w:overflowPunct/>
        <w:topLinePunct w:val="0"/>
        <w:autoSpaceDE/>
        <w:autoSpaceDN/>
        <w:bidi w:val="0"/>
        <w:adjustRightInd/>
        <w:snapToGrid w:val="0"/>
        <w:spacing w:line="60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rPr>
        <w:t>) 检查内容</w:t>
      </w:r>
    </w:p>
    <w:p w14:paraId="6B3BF752">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委托人向代理记账机构隐瞒真实情况或者委托人会同代理记账机构共同提供虚假会计资料的行为</w:t>
      </w:r>
    </w:p>
    <w:p w14:paraId="1B589847">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2、代理记账机构从业人员是否在办理业务中违反会计法律、法规和国家统一的会计制度的规定，造成委托人会计核算混乱、损害国家和委托人利益的行为</w:t>
      </w:r>
    </w:p>
    <w:p w14:paraId="23170FF3">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代理记账机构要高度重视,被检查单位要做好相关配合工作，同时准备好相关资料，确保检查工作顺利开展</w:t>
      </w:r>
      <w:r>
        <w:rPr>
          <w:rFonts w:hint="eastAsia" w:ascii="仿宋_GB2312" w:hAnsi="仿宋_GB2312" w:eastAsia="仿宋_GB2312" w:cs="仿宋_GB2312"/>
          <w:sz w:val="32"/>
          <w:szCs w:val="32"/>
          <w:lang w:eastAsia="zh-CN"/>
        </w:rPr>
        <w:t>。</w:t>
      </w:r>
    </w:p>
    <w:p w14:paraId="732A292B">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五</w:t>
      </w:r>
      <w:r>
        <w:rPr>
          <w:rFonts w:hint="eastAsia" w:ascii="仿宋_GB2312" w:hAnsi="仿宋_GB2312" w:eastAsia="仿宋_GB2312" w:cs="仿宋_GB2312"/>
          <w:b w:val="0"/>
          <w:bCs w:val="0"/>
          <w:sz w:val="32"/>
          <w:szCs w:val="32"/>
          <w:lang w:eastAsia="zh-CN"/>
        </w:rPr>
        <w:t>)检查组联系电话: 0470-</w:t>
      </w:r>
      <w:r>
        <w:rPr>
          <w:rFonts w:hint="eastAsia" w:ascii="仿宋_GB2312" w:hAnsi="仿宋_GB2312" w:eastAsia="仿宋_GB2312" w:cs="仿宋_GB2312"/>
          <w:b w:val="0"/>
          <w:bCs w:val="0"/>
          <w:sz w:val="32"/>
          <w:szCs w:val="32"/>
          <w:lang w:val="en-US" w:eastAsia="zh-CN"/>
        </w:rPr>
        <w:t>6823401</w:t>
      </w:r>
    </w:p>
    <w:p w14:paraId="6C26E10D">
      <w:pPr>
        <w:keepNext w:val="0"/>
        <w:keepLines w:val="0"/>
        <w:pageBreakBefore w:val="0"/>
        <w:widowControl w:val="0"/>
        <w:kinsoku/>
        <w:wordWrap/>
        <w:overflowPunct/>
        <w:topLinePunct w:val="0"/>
        <w:autoSpaceDE/>
        <w:autoSpaceDN/>
        <w:bidi w:val="0"/>
        <w:adjustRightInd/>
        <w:snapToGrid w:val="0"/>
        <w:spacing w:line="600" w:lineRule="exact"/>
        <w:jc w:val="both"/>
        <w:textAlignment w:val="auto"/>
        <w:rPr>
          <w:rFonts w:hint="eastAsia" w:ascii="仿宋_GB2312" w:hAnsi="仿宋_GB2312" w:eastAsia="仿宋_GB2312" w:cs="仿宋_GB2312"/>
          <w:b w:val="0"/>
          <w:bCs w:val="0"/>
          <w:sz w:val="32"/>
          <w:szCs w:val="32"/>
          <w:lang w:val="en-US" w:eastAsia="zh-CN"/>
        </w:rPr>
      </w:pPr>
    </w:p>
    <w:p w14:paraId="71AFABB7">
      <w:pPr>
        <w:keepNext w:val="0"/>
        <w:keepLines w:val="0"/>
        <w:pageBreakBefore w:val="0"/>
        <w:widowControl w:val="0"/>
        <w:kinsoku/>
        <w:wordWrap/>
        <w:overflowPunct/>
        <w:topLinePunct w:val="0"/>
        <w:autoSpaceDE/>
        <w:autoSpaceDN/>
        <w:bidi w:val="0"/>
        <w:adjustRightInd/>
        <w:snapToGrid w:val="0"/>
        <w:spacing w:line="600" w:lineRule="exact"/>
        <w:jc w:val="right"/>
        <w:textAlignment w:val="auto"/>
        <w:rPr>
          <w:rFonts w:hint="eastAsia" w:ascii="仿宋_GB2312" w:hAnsi="仿宋_GB2312" w:eastAsia="仿宋_GB2312" w:cs="仿宋_GB2312"/>
          <w:sz w:val="32"/>
          <w:szCs w:val="32"/>
          <w:lang w:val="en-US" w:eastAsia="zh-CN"/>
        </w:rPr>
      </w:pPr>
    </w:p>
    <w:p w14:paraId="5F49E341">
      <w:pPr>
        <w:keepNext w:val="0"/>
        <w:keepLines w:val="0"/>
        <w:pageBreakBefore w:val="0"/>
        <w:widowControl w:val="0"/>
        <w:kinsoku/>
        <w:wordWrap/>
        <w:overflowPunct/>
        <w:topLinePunct w:val="0"/>
        <w:autoSpaceDE/>
        <w:autoSpaceDN/>
        <w:bidi w:val="0"/>
        <w:adjustRightInd/>
        <w:snapToGrid w:val="0"/>
        <w:spacing w:line="600" w:lineRule="exact"/>
        <w:jc w:val="right"/>
        <w:textAlignment w:val="auto"/>
        <w:rPr>
          <w:rFonts w:hint="eastAsia" w:ascii="仿宋_GB2312" w:hAnsi="仿宋_GB2312" w:eastAsia="仿宋_GB2312" w:cs="仿宋_GB2312"/>
          <w:sz w:val="32"/>
          <w:szCs w:val="32"/>
          <w:lang w:val="en-US" w:eastAsia="zh-CN"/>
        </w:rPr>
      </w:pPr>
    </w:p>
    <w:p w14:paraId="606477B2">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额尔古纳市财政局</w:t>
      </w:r>
    </w:p>
    <w:p w14:paraId="7FA90546">
      <w:pPr>
        <w:keepNext w:val="0"/>
        <w:keepLines w:val="0"/>
        <w:pageBreakBefore w:val="0"/>
        <w:widowControl w:val="0"/>
        <w:kinsoku/>
        <w:wordWrap/>
        <w:overflowPunct/>
        <w:topLinePunct w:val="0"/>
        <w:autoSpaceDE/>
        <w:autoSpaceDN/>
        <w:bidi w:val="0"/>
        <w:adjustRightInd/>
        <w:snapToGrid w:val="0"/>
        <w:spacing w:line="600" w:lineRule="exact"/>
        <w:ind w:firstLine="5440" w:firstLineChars="17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2025年5月6日</w:t>
      </w:r>
    </w:p>
    <w:sectPr>
      <w:pgSz w:w="11906" w:h="16838"/>
      <w:pgMar w:top="1984" w:right="1531" w:bottom="170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0ZWJmZmYwYmQwNzEwM2UyZDNhYTJkOTAyNmI0MjcifQ=="/>
  </w:docVars>
  <w:rsids>
    <w:rsidRoot w:val="00000000"/>
    <w:rsid w:val="004B3FD8"/>
    <w:rsid w:val="08EF1CA4"/>
    <w:rsid w:val="0B681803"/>
    <w:rsid w:val="178A5425"/>
    <w:rsid w:val="1914666A"/>
    <w:rsid w:val="1DB5000E"/>
    <w:rsid w:val="27312A83"/>
    <w:rsid w:val="2A9508B1"/>
    <w:rsid w:val="2E135767"/>
    <w:rsid w:val="31EB62D2"/>
    <w:rsid w:val="4A8709C1"/>
    <w:rsid w:val="51A100CF"/>
    <w:rsid w:val="58514AC0"/>
    <w:rsid w:val="5B5C39C6"/>
    <w:rsid w:val="5B6E1818"/>
    <w:rsid w:val="69B22768"/>
    <w:rsid w:val="750A661F"/>
    <w:rsid w:val="77025A36"/>
    <w:rsid w:val="7B481D59"/>
    <w:rsid w:val="7BB3602A"/>
    <w:rsid w:val="7EC12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466</Words>
  <Characters>498</Characters>
  <Lines>0</Lines>
  <Paragraphs>0</Paragraphs>
  <TotalTime>4</TotalTime>
  <ScaleCrop>false</ScaleCrop>
  <LinksUpToDate>false</LinksUpToDate>
  <CharactersWithSpaces>608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2023-08-30T01:25:00Z</dcterms:created>
  <dc:creator>Administrator</dc:creator>
  <cp:lastModifiedBy>兔子</cp:lastModifiedBy>
  <cp:lastPrinted>2024-06-12T07:58:00Z</cp:lastPrinted>
  <dcterms:modified xsi:type="dcterms:W3CDTF">2025-05-16T07:51:23Z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E041FD158D064665BEBEDDB1FBBF04D7_13</vt:lpwstr>
  </property>
  <property fmtid="{D5CDD505-2E9C-101B-9397-08002B2CF9AE}" pid="4" name="KSOTemplateDocerSaveRecord">
    <vt:lpwstr>eyJoZGlkIjoiMTYwYmI3MjI1MmE0MmQzOTQ0ZmM3YjgwYzcxMDQ4NmEiLCJ1c2VySWQiOiI2ODg4NjY1MDEifQ==</vt:lpwstr>
  </property>
</Properties>
</file>