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E21A01">
      <w:pPr>
        <w:bidi w:val="0"/>
        <w:rPr>
          <w:rFonts w:hint="eastAsia"/>
          <w:lang w:val="en-US" w:eastAsia="zh-CN"/>
        </w:rPr>
      </w:pPr>
    </w:p>
    <w:p w14:paraId="75EBC9CD">
      <w:pPr>
        <w:bidi w:val="0"/>
        <w:rPr>
          <w:rFonts w:hint="eastAsia"/>
          <w:lang w:val="en-US" w:eastAsia="zh-CN"/>
        </w:rPr>
      </w:pPr>
    </w:p>
    <w:p w14:paraId="2073C65A">
      <w:r>
        <w:rPr>
          <w:rFonts w:hint="eastAsia"/>
          <w:lang w:val="en-US" w:eastAsia="zh-CN"/>
        </w:rPr>
        <w:t>额尔古纳市</w:t>
      </w:r>
      <w:r>
        <w:rPr>
          <w:rFonts w:hint="default"/>
          <w:lang w:val="en-US" w:eastAsia="zh-CN"/>
        </w:rPr>
        <w:t>财政局2025 年代理机构 “双随机、一公开” 检查</w:t>
      </w:r>
      <w:r>
        <w:rPr>
          <w:rFonts w:hint="eastAsia"/>
          <w:lang w:val="en-US" w:eastAsia="zh-CN"/>
        </w:rPr>
        <w:t>结果</w:t>
      </w:r>
      <w:r>
        <w:rPr>
          <w:rFonts w:hint="default"/>
          <w:lang w:val="en-US" w:eastAsia="zh-CN"/>
        </w:rPr>
        <w:t>公示</w:t>
      </w:r>
    </w:p>
    <w:p w14:paraId="60D41FA6"/>
    <w:tbl>
      <w:tblPr>
        <w:tblStyle w:val="4"/>
        <w:tblpPr w:leftFromText="180" w:rightFromText="180" w:vertAnchor="text" w:horzAnchor="page" w:tblpX="858" w:tblpY="2808"/>
        <w:tblOverlap w:val="never"/>
        <w:tblW w:w="157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030"/>
        <w:gridCol w:w="1498"/>
        <w:gridCol w:w="1547"/>
        <w:gridCol w:w="5577"/>
        <w:gridCol w:w="2343"/>
        <w:gridCol w:w="1365"/>
        <w:gridCol w:w="1365"/>
      </w:tblGrid>
      <w:tr w14:paraId="0DE43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6" w:hRule="atLeast"/>
        </w:trPr>
        <w:tc>
          <w:tcPr>
            <w:tcW w:w="2030" w:type="dxa"/>
            <w:tcBorders>
              <w:top w:val="single" w:color="000000" w:sz="4" w:space="0"/>
              <w:left w:val="single" w:color="000000" w:sz="4" w:space="0"/>
              <w:bottom w:val="single" w:color="000000" w:sz="4" w:space="0"/>
              <w:right w:val="single" w:color="000000" w:sz="4" w:space="0"/>
            </w:tcBorders>
            <w:shd w:val="clear" w:color="auto" w:fill="auto"/>
            <w:vAlign w:val="top"/>
          </w:tcPr>
          <w:p w14:paraId="763F1955">
            <w:pPr>
              <w:rPr>
                <w:rFonts w:hint="eastAsia"/>
              </w:rPr>
            </w:pPr>
            <w:r>
              <w:rPr>
                <w:lang w:val="en-US" w:eastAsia="zh-CN"/>
              </w:rPr>
              <w:t>计划名称</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top"/>
          </w:tcPr>
          <w:p w14:paraId="2CA52402">
            <w:pPr>
              <w:rPr>
                <w:rFonts w:hint="eastAsia"/>
              </w:rPr>
            </w:pPr>
            <w:r>
              <w:rPr>
                <w:lang w:val="en-US" w:eastAsia="zh-CN"/>
              </w:rPr>
              <w:t>主体名称</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top"/>
          </w:tcPr>
          <w:p w14:paraId="591590C1">
            <w:pPr>
              <w:rPr>
                <w:rFonts w:hint="eastAsia"/>
              </w:rPr>
            </w:pPr>
            <w:r>
              <w:rPr>
                <w:lang w:val="en-US" w:eastAsia="zh-CN"/>
              </w:rPr>
              <w:t>统一社会信用代码</w:t>
            </w:r>
          </w:p>
        </w:tc>
        <w:tc>
          <w:tcPr>
            <w:tcW w:w="5577" w:type="dxa"/>
            <w:tcBorders>
              <w:top w:val="single" w:color="000000" w:sz="4" w:space="0"/>
              <w:left w:val="single" w:color="000000" w:sz="4" w:space="0"/>
              <w:bottom w:val="single" w:color="000000" w:sz="4" w:space="0"/>
              <w:right w:val="single" w:color="000000" w:sz="4" w:space="0"/>
            </w:tcBorders>
            <w:shd w:val="clear" w:color="auto" w:fill="auto"/>
            <w:vAlign w:val="top"/>
          </w:tcPr>
          <w:p w14:paraId="32D24985">
            <w:pPr>
              <w:rPr>
                <w:rFonts w:hint="eastAsia"/>
              </w:rPr>
            </w:pPr>
            <w:r>
              <w:rPr>
                <w:lang w:val="en-US" w:eastAsia="zh-CN"/>
              </w:rPr>
              <w:t>检查事项</w:t>
            </w:r>
          </w:p>
        </w:tc>
        <w:tc>
          <w:tcPr>
            <w:tcW w:w="2343" w:type="dxa"/>
            <w:tcBorders>
              <w:top w:val="single" w:color="000000" w:sz="4" w:space="0"/>
              <w:left w:val="single" w:color="000000" w:sz="4" w:space="0"/>
              <w:bottom w:val="single" w:color="000000" w:sz="4" w:space="0"/>
              <w:right w:val="single" w:color="000000" w:sz="4" w:space="0"/>
            </w:tcBorders>
            <w:shd w:val="clear" w:color="auto" w:fill="auto"/>
            <w:vAlign w:val="top"/>
          </w:tcPr>
          <w:p w14:paraId="27690465">
            <w:pPr>
              <w:rPr>
                <w:rFonts w:hint="eastAsia"/>
              </w:rPr>
            </w:pPr>
            <w:r>
              <w:rPr>
                <w:lang w:val="en-US" w:eastAsia="zh-CN"/>
              </w:rPr>
              <w:t>检查内容</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top"/>
          </w:tcPr>
          <w:p w14:paraId="226E9593">
            <w:pPr>
              <w:rPr>
                <w:rFonts w:hint="eastAsia"/>
              </w:rPr>
            </w:pPr>
            <w:r>
              <w:rPr>
                <w:lang w:val="en-US" w:eastAsia="zh-CN"/>
              </w:rPr>
              <w:t>检查依据</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top"/>
          </w:tcPr>
          <w:p w14:paraId="4701AC1A">
            <w:pPr>
              <w:rPr>
                <w:rFonts w:hint="default"/>
                <w:lang w:val="en-US" w:eastAsia="zh-CN"/>
              </w:rPr>
            </w:pPr>
            <w:r>
              <w:rPr>
                <w:rFonts w:hint="eastAsia"/>
                <w:lang w:val="en-US" w:eastAsia="zh-CN"/>
              </w:rPr>
              <w:t>是否存在问题</w:t>
            </w:r>
          </w:p>
        </w:tc>
      </w:tr>
      <w:tr w14:paraId="29A0F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4" w:hRule="atLeast"/>
        </w:trPr>
        <w:tc>
          <w:tcPr>
            <w:tcW w:w="20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5860B">
            <w:r>
              <w:rPr>
                <w:lang w:val="en-US" w:eastAsia="zh-CN"/>
              </w:rPr>
              <w:t>2025年代理记账机构“双随机、一公开”执业质量检查单位</w:t>
            </w:r>
          </w:p>
        </w:tc>
        <w:tc>
          <w:tcPr>
            <w:tcW w:w="1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31CA9">
            <w:r>
              <w:rPr>
                <w:rFonts w:hint="eastAsia"/>
                <w:lang w:val="en-US" w:eastAsia="zh-CN"/>
              </w:rPr>
              <w:t>金云鼎工作室</w:t>
            </w:r>
          </w:p>
        </w:tc>
        <w:tc>
          <w:tcPr>
            <w:tcW w:w="1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55C61">
            <w:pPr>
              <w:rPr>
                <w:rFonts w:hint="eastAsia"/>
              </w:rPr>
            </w:pPr>
            <w:r>
              <w:rPr>
                <w:rFonts w:hint="eastAsia"/>
                <w:lang w:val="en-US" w:eastAsia="zh-CN"/>
              </w:rPr>
              <w:t>92150784MA0Q772X0Q</w:t>
            </w:r>
          </w:p>
        </w:tc>
        <w:tc>
          <w:tcPr>
            <w:tcW w:w="5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C29DC">
            <w:pPr>
              <w:rPr>
                <w:rFonts w:hint="default"/>
              </w:rPr>
            </w:pPr>
            <w:r>
              <w:rPr>
                <w:lang w:val="en-US" w:eastAsia="zh-CN"/>
              </w:rPr>
              <w:t>1、委托人向代理记账机构隐瞒真实情况或者委托人会同代理记账机构共同提供虚假会计资料的行为</w:t>
            </w:r>
          </w:p>
        </w:tc>
        <w:tc>
          <w:tcPr>
            <w:tcW w:w="2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D63FA">
            <w:pPr>
              <w:rPr>
                <w:rFonts w:hint="eastAsia"/>
              </w:rPr>
            </w:pPr>
            <w:r>
              <w:rPr>
                <w:lang w:val="en-US" w:eastAsia="zh-CN"/>
              </w:rPr>
              <w:t>1. 是否符合《代理记账管理办法》规定执业要求</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F99E">
            <w:pPr>
              <w:rPr>
                <w:rFonts w:hint="eastAsia"/>
              </w:rPr>
            </w:pPr>
            <w:r>
              <w:rPr>
                <w:rFonts w:hint="eastAsia"/>
                <w:lang w:val="en-US" w:eastAsia="zh-CN"/>
              </w:rPr>
              <w:t>《代理记账管理办法》</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06D88">
            <w:pPr>
              <w:rPr>
                <w:rFonts w:hint="default"/>
                <w:lang w:val="en-US" w:eastAsia="zh-CN"/>
              </w:rPr>
            </w:pPr>
            <w:r>
              <w:rPr>
                <w:rFonts w:hint="eastAsia"/>
                <w:lang w:val="en-US" w:eastAsia="zh-CN"/>
              </w:rPr>
              <w:t>否</w:t>
            </w:r>
          </w:p>
        </w:tc>
      </w:tr>
      <w:tr w14:paraId="2D4A5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5" w:hRule="atLeast"/>
        </w:trPr>
        <w:tc>
          <w:tcPr>
            <w:tcW w:w="20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E3021">
            <w:pPr>
              <w:rPr>
                <w:rFonts w:hint="default"/>
              </w:rPr>
            </w:pPr>
          </w:p>
        </w:tc>
        <w:tc>
          <w:tcPr>
            <w:tcW w:w="1498" w:type="dxa"/>
            <w:tcBorders>
              <w:top w:val="single" w:color="000000" w:sz="4" w:space="0"/>
              <w:left w:val="single" w:color="000000" w:sz="4" w:space="0"/>
              <w:bottom w:val="single" w:color="000000" w:sz="4" w:space="0"/>
              <w:right w:val="single" w:color="000000" w:sz="4" w:space="0"/>
            </w:tcBorders>
            <w:shd w:val="clear" w:color="auto" w:fill="F7F7F7"/>
            <w:vAlign w:val="top"/>
          </w:tcPr>
          <w:p w14:paraId="77044976">
            <w:pPr>
              <w:rPr>
                <w:rFonts w:hint="eastAsia"/>
              </w:rPr>
            </w:pPr>
            <w:r>
              <w:rPr>
                <w:rFonts w:hint="eastAsia"/>
                <w:lang w:val="en-US" w:eastAsia="zh-CN"/>
              </w:rPr>
              <w:t>金账房财税服务有限公司</w:t>
            </w:r>
          </w:p>
        </w:tc>
        <w:tc>
          <w:tcPr>
            <w:tcW w:w="1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CFFAA">
            <w:pPr>
              <w:rPr>
                <w:rFonts w:hint="eastAsia"/>
              </w:rPr>
            </w:pPr>
          </w:p>
        </w:tc>
        <w:tc>
          <w:tcPr>
            <w:tcW w:w="5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26F5A">
            <w:pPr>
              <w:rPr>
                <w:rFonts w:hint="default"/>
              </w:rPr>
            </w:pPr>
            <w:r>
              <w:rPr>
                <w:lang w:val="en-US" w:eastAsia="zh-CN"/>
              </w:rPr>
              <w:t>2、代理记账机构从业人员是否在办理业务中违反会计法律、法规和国家统一的会计制度的规定，造成委托人会计核算混乱、损害国家和委托人利益的行为</w:t>
            </w:r>
          </w:p>
        </w:tc>
        <w:tc>
          <w:tcPr>
            <w:tcW w:w="2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C0B90">
            <w:pPr>
              <w:rPr>
                <w:rFonts w:hint="eastAsia"/>
              </w:rPr>
            </w:pPr>
            <w:r>
              <w:rPr>
                <w:lang w:val="en-US" w:eastAsia="zh-CN"/>
              </w:rPr>
              <w:t>1. 是否符合《代理记账管理办法》规定执业要求</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47D75">
            <w:pPr>
              <w:rPr>
                <w:rFonts w:hint="default"/>
              </w:rPr>
            </w:pPr>
            <w:r>
              <w:rPr>
                <w:rFonts w:hint="default"/>
                <w:lang w:val="en-US" w:eastAsia="zh-CN"/>
              </w:rPr>
              <w:t>《代理记账管理办法》</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C1FD4">
            <w:pPr>
              <w:rPr>
                <w:rFonts w:hint="default"/>
                <w:lang w:val="en-US" w:eastAsia="zh-CN"/>
              </w:rPr>
            </w:pPr>
            <w:r>
              <w:rPr>
                <w:rFonts w:hint="eastAsia"/>
                <w:lang w:val="en-US" w:eastAsia="zh-CN"/>
              </w:rPr>
              <w:t>否</w:t>
            </w:r>
          </w:p>
        </w:tc>
      </w:tr>
    </w:tbl>
    <w:p w14:paraId="40962464">
      <w:pPr>
        <w:rPr>
          <w:rFonts w:hint="default"/>
          <w:lang w:val="en-US" w:eastAsia="zh-CN"/>
        </w:rPr>
      </w:pPr>
      <w:r>
        <w:rPr>
          <w:rFonts w:hint="default"/>
          <w:lang w:val="en-US" w:eastAsia="zh-CN"/>
        </w:rPr>
        <w:t>根据《</w:t>
      </w:r>
      <w:r>
        <w:rPr>
          <w:rFonts w:hint="eastAsia"/>
          <w:lang w:val="en-US" w:eastAsia="zh-CN"/>
        </w:rPr>
        <w:t>额尔古纳市2025年度市场监管部门联合“双随机、一公开”抽查计划</w:t>
      </w:r>
      <w:r>
        <w:rPr>
          <w:rFonts w:hint="default"/>
          <w:lang w:val="en-US" w:eastAsia="zh-CN"/>
        </w:rPr>
        <w:t>》</w:t>
      </w:r>
      <w:r>
        <w:rPr>
          <w:rFonts w:hint="eastAsia"/>
          <w:lang w:val="en-US" w:eastAsia="zh-CN"/>
        </w:rPr>
        <w:t>的通知</w:t>
      </w:r>
      <w:r>
        <w:rPr>
          <w:rFonts w:hint="default"/>
          <w:lang w:val="en-US" w:eastAsia="zh-CN"/>
        </w:rPr>
        <w:t xml:space="preserve">文件要求，为加强对代理机构的监管，规范代理行为，我局开展 </w:t>
      </w:r>
      <w:r>
        <w:rPr>
          <w:rFonts w:hint="eastAsia"/>
          <w:lang w:val="en-US" w:eastAsia="zh-CN"/>
        </w:rPr>
        <w:t>了</w:t>
      </w:r>
      <w:r>
        <w:rPr>
          <w:rFonts w:hint="default"/>
          <w:lang w:val="en-US" w:eastAsia="zh-CN"/>
        </w:rPr>
        <w:t>2025 年代理机构 “双随机、一公开” 检查工作。现将随机抽取的检查</w:t>
      </w:r>
      <w:r>
        <w:rPr>
          <w:rFonts w:hint="eastAsia"/>
          <w:lang w:val="en-US" w:eastAsia="zh-CN"/>
        </w:rPr>
        <w:t>结果</w:t>
      </w:r>
      <w:r>
        <w:rPr>
          <w:rFonts w:hint="default"/>
          <w:lang w:val="en-US" w:eastAsia="zh-CN"/>
        </w:rPr>
        <w:t>公示如下：</w:t>
      </w:r>
    </w:p>
    <w:p w14:paraId="2155067B">
      <w:pPr>
        <w:ind w:firstLine="2326" w:firstLineChars="700"/>
        <w:rPr>
          <w:rFonts w:hint="default"/>
          <w:lang w:val="en-US"/>
        </w:rPr>
      </w:pPr>
      <w:r>
        <w:rPr>
          <w:rFonts w:hint="eastAsia"/>
          <w:lang w:val="en-US" w:eastAsia="zh-CN"/>
        </w:rPr>
        <w:t>额尔古纳市</w:t>
      </w:r>
      <w:r>
        <w:rPr>
          <w:rFonts w:hint="default"/>
          <w:lang w:val="en-US" w:eastAsia="zh-CN"/>
        </w:rPr>
        <w:t>财政局2025 年代理机构 “双随机、一公开” 检查</w:t>
      </w:r>
      <w:r>
        <w:rPr>
          <w:rFonts w:hint="eastAsia"/>
          <w:lang w:val="en-US" w:eastAsia="zh-CN"/>
        </w:rPr>
        <w:t>结果</w:t>
      </w:r>
    </w:p>
    <w:p w14:paraId="424C81C2"/>
    <w:p w14:paraId="41BDE6C1">
      <w:pPr>
        <w:rPr>
          <w:rFonts w:hint="default"/>
          <w:lang w:val="en-US" w:eastAsia="zh-CN"/>
        </w:rPr>
      </w:pPr>
    </w:p>
    <w:p w14:paraId="35C1CD29">
      <w:pPr>
        <w:rPr>
          <w:rFonts w:hint="default"/>
          <w:lang w:val="en-US" w:eastAsia="zh-CN"/>
        </w:rPr>
      </w:pPr>
    </w:p>
    <w:p w14:paraId="74F17644">
      <w:pPr>
        <w:rPr>
          <w:rFonts w:hint="default"/>
          <w:lang w:val="en-US"/>
        </w:rPr>
      </w:pPr>
      <w:r>
        <w:rPr>
          <w:rFonts w:hint="default"/>
          <w:lang w:val="en-US" w:eastAsia="zh-CN"/>
        </w:rPr>
        <w:t>公示期为</w:t>
      </w:r>
      <w:r>
        <w:rPr>
          <w:rFonts w:hint="eastAsia"/>
          <w:lang w:val="en-US" w:eastAsia="zh-CN"/>
        </w:rPr>
        <w:t>2025年5月22日</w:t>
      </w:r>
      <w:r>
        <w:rPr>
          <w:rFonts w:hint="default"/>
          <w:lang w:val="en-US" w:eastAsia="zh-CN"/>
        </w:rPr>
        <w:t xml:space="preserve"> 至 </w:t>
      </w:r>
      <w:r>
        <w:rPr>
          <w:rFonts w:hint="eastAsia"/>
          <w:lang w:val="en-US" w:eastAsia="zh-CN"/>
        </w:rPr>
        <w:t>2025年5月27日</w:t>
      </w:r>
      <w:r>
        <w:rPr>
          <w:rFonts w:hint="default"/>
          <w:lang w:val="en-US" w:eastAsia="zh-CN"/>
        </w:rPr>
        <w:t>。如对公示内容有异议，请在公示期内与我局联系。联系电话：</w:t>
      </w:r>
      <w:r>
        <w:rPr>
          <w:rFonts w:hint="eastAsia"/>
          <w:lang w:val="en-US" w:eastAsia="zh-CN"/>
        </w:rPr>
        <w:t>04706823401</w:t>
      </w:r>
    </w:p>
    <w:p w14:paraId="291DFFB6">
      <w:pPr>
        <w:keepNext w:val="0"/>
        <w:keepLines w:val="0"/>
        <w:widowControl/>
        <w:suppressLineNumbers w:val="0"/>
        <w:shd w:val="clear" w:fill="F5F5F5"/>
        <w:spacing w:line="23" w:lineRule="atLeast"/>
        <w:ind w:left="0" w:firstLine="0"/>
        <w:jc w:val="both"/>
        <w:rPr>
          <w:rFonts w:hint="default" w:ascii="Segoe UI" w:hAnsi="Segoe UI" w:eastAsia="宋体" w:cs="Segoe UI"/>
          <w:i w:val="0"/>
          <w:iCs w:val="0"/>
          <w:caps w:val="0"/>
          <w:color w:val="000000"/>
          <w:spacing w:val="0"/>
          <w:sz w:val="24"/>
          <w:szCs w:val="24"/>
          <w:shd w:val="clear" w:color="FFFFFF" w:fill="D9D9D9"/>
          <w:lang w:val="en-US" w:eastAsia="zh-CN"/>
        </w:rPr>
      </w:pPr>
      <w:r>
        <w:rPr>
          <w:rFonts w:hint="eastAsia" w:ascii="Segoe UI" w:hAnsi="Segoe UI" w:eastAsia="宋体" w:cs="Segoe UI"/>
          <w:i w:val="0"/>
          <w:iCs w:val="0"/>
          <w:caps w:val="0"/>
          <w:color w:val="000000"/>
          <w:spacing w:val="0"/>
          <w:sz w:val="24"/>
          <w:szCs w:val="24"/>
          <w:shd w:val="clear" w:color="FFFFFF" w:fill="D9D9D9"/>
          <w:lang w:val="en-US" w:eastAsia="zh-CN"/>
        </w:rPr>
        <w:t>额尔古纳市财政局</w:t>
      </w:r>
    </w:p>
    <w:p w14:paraId="67E11760">
      <w:pPr>
        <w:keepNext w:val="0"/>
        <w:keepLines w:val="0"/>
        <w:widowControl/>
        <w:suppressLineNumbers w:val="0"/>
        <w:jc w:val="both"/>
        <w:rPr>
          <w:shd w:val="clear" w:color="FFFFFF" w:fill="D9D9D9"/>
        </w:rPr>
      </w:pPr>
    </w:p>
    <w:p w14:paraId="4EEA0581">
      <w:pPr>
        <w:keepNext w:val="0"/>
        <w:keepLines w:val="0"/>
        <w:widowControl/>
        <w:suppressLineNumbers w:val="0"/>
        <w:shd w:val="clear" w:fill="F5F5F5"/>
        <w:spacing w:line="23" w:lineRule="atLeast"/>
        <w:ind w:left="0" w:firstLine="0"/>
        <w:jc w:val="left"/>
        <w:rPr>
          <w:rFonts w:hint="default" w:ascii="Segoe UI" w:hAnsi="Segoe UI" w:eastAsia="Segoe UI" w:cs="Segoe UI"/>
          <w:i w:val="0"/>
          <w:iCs w:val="0"/>
          <w:caps w:val="0"/>
          <w:color w:val="000000"/>
          <w:spacing w:val="0"/>
          <w:sz w:val="24"/>
          <w:szCs w:val="24"/>
          <w:shd w:val="clear" w:color="FFFFFF" w:fill="D9D9D9"/>
        </w:rPr>
      </w:pPr>
      <w:bookmarkStart w:id="0" w:name="_GoBack"/>
      <w:bookmarkEnd w:id="0"/>
    </w:p>
    <w:p w14:paraId="556676D5">
      <w:pPr>
        <w:bidi w:val="0"/>
        <w:rPr>
          <w:rFonts w:hint="eastAsia"/>
        </w:rPr>
      </w:pPr>
    </w:p>
    <w:sectPr>
      <w:pgSz w:w="16838" w:h="23811"/>
      <w:pgMar w:top="720" w:right="720" w:bottom="720" w:left="72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RlZmI4OTkxYjZkMGMwOGM0NTVmZTVjOTkzYzJjYTgifQ=="/>
  </w:docVars>
  <w:rsids>
    <w:rsidRoot w:val="007E379E"/>
    <w:rsid w:val="000F2FDE"/>
    <w:rsid w:val="00154369"/>
    <w:rsid w:val="00186F39"/>
    <w:rsid w:val="00280AC4"/>
    <w:rsid w:val="005244D6"/>
    <w:rsid w:val="005B39BE"/>
    <w:rsid w:val="005E1992"/>
    <w:rsid w:val="00695177"/>
    <w:rsid w:val="007673EB"/>
    <w:rsid w:val="007E379E"/>
    <w:rsid w:val="007F684B"/>
    <w:rsid w:val="00836B03"/>
    <w:rsid w:val="008951CE"/>
    <w:rsid w:val="008F47E3"/>
    <w:rsid w:val="00A6452D"/>
    <w:rsid w:val="00BF2ED1"/>
    <w:rsid w:val="00C54E7B"/>
    <w:rsid w:val="00D5697E"/>
    <w:rsid w:val="00E03B43"/>
    <w:rsid w:val="00E23AF8"/>
    <w:rsid w:val="00F97A37"/>
    <w:rsid w:val="00FC4719"/>
    <w:rsid w:val="00FD3F05"/>
    <w:rsid w:val="02691984"/>
    <w:rsid w:val="04212517"/>
    <w:rsid w:val="052878D5"/>
    <w:rsid w:val="0AEC6CAF"/>
    <w:rsid w:val="0FB41243"/>
    <w:rsid w:val="112F77F7"/>
    <w:rsid w:val="14433F28"/>
    <w:rsid w:val="157F52EF"/>
    <w:rsid w:val="18A81710"/>
    <w:rsid w:val="19D74271"/>
    <w:rsid w:val="1FFB7C68"/>
    <w:rsid w:val="2CC55886"/>
    <w:rsid w:val="2CDE4B86"/>
    <w:rsid w:val="3281224F"/>
    <w:rsid w:val="41616CD0"/>
    <w:rsid w:val="479E6FA7"/>
    <w:rsid w:val="4D2717ED"/>
    <w:rsid w:val="4D584169"/>
    <w:rsid w:val="4F89267C"/>
    <w:rsid w:val="54693683"/>
    <w:rsid w:val="549459BA"/>
    <w:rsid w:val="5A4361C1"/>
    <w:rsid w:val="629F3AE0"/>
    <w:rsid w:val="672055DB"/>
    <w:rsid w:val="68F86EF9"/>
    <w:rsid w:val="736B748E"/>
    <w:rsid w:val="7AFA5B27"/>
    <w:rsid w:val="7C211B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overflowPunct w:val="0"/>
      <w:autoSpaceDE w:val="0"/>
      <w:spacing w:line="600" w:lineRule="exact"/>
    </w:pPr>
    <w:rPr>
      <w:rFonts w:ascii="华文仿宋" w:hAnsi="华文仿宋" w:eastAsia="华文仿宋" w:cs="Times New Roman"/>
      <w:b/>
      <w:bCs/>
      <w:color w:val="3C3C3D"/>
      <w:spacing w:val="6"/>
      <w:kern w:val="21"/>
      <w:sz w:val="32"/>
      <w:szCs w:val="32"/>
      <w:shd w:val="clear" w:color="auto" w:fill="FFFFFF"/>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val="0"/>
      <w:kern w:val="44"/>
      <w:sz w:val="44"/>
    </w:rPr>
  </w:style>
  <w:style w:type="character" w:default="1" w:styleId="5">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styleId="6">
    <w:name w:val="Strong"/>
    <w:basedOn w:val="5"/>
    <w:qFormat/>
    <w:uiPriority w:val="0"/>
    <w:rPr>
      <w:b/>
    </w:rPr>
  </w:style>
  <w:style w:type="character" w:customStyle="1" w:styleId="7">
    <w:name w:val="font31"/>
    <w:basedOn w:val="5"/>
    <w:uiPriority w:val="0"/>
    <w:rPr>
      <w:rFonts w:hint="eastAsia" w:ascii="宋体" w:hAnsi="宋体" w:eastAsia="宋体" w:cs="宋体"/>
      <w:color w:val="000000"/>
      <w:sz w:val="21"/>
      <w:szCs w:val="21"/>
      <w:u w:val="none"/>
    </w:rPr>
  </w:style>
  <w:style w:type="character" w:customStyle="1" w:styleId="8">
    <w:name w:val="font51"/>
    <w:basedOn w:val="5"/>
    <w:uiPriority w:val="0"/>
    <w:rPr>
      <w:rFonts w:hint="default" w:ascii="Calibri" w:hAnsi="Calibri" w:cs="Calibri"/>
      <w:color w:val="000000"/>
      <w:sz w:val="20"/>
      <w:szCs w:val="20"/>
      <w:u w:val="none"/>
    </w:rPr>
  </w:style>
  <w:style w:type="character" w:customStyle="1" w:styleId="9">
    <w:name w:val="font21"/>
    <w:basedOn w:val="5"/>
    <w:uiPriority w:val="0"/>
    <w:rPr>
      <w:rFonts w:hint="eastAsia" w:ascii="宋体" w:hAnsi="宋体" w:eastAsia="宋体" w:cs="宋体"/>
      <w:color w:val="000000"/>
      <w:sz w:val="20"/>
      <w:szCs w:val="20"/>
      <w:u w:val="none"/>
    </w:rPr>
  </w:style>
  <w:style w:type="character" w:customStyle="1" w:styleId="10">
    <w:name w:val="font71"/>
    <w:basedOn w:val="5"/>
    <w:uiPriority w:val="0"/>
    <w:rPr>
      <w:rFonts w:hint="default"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486</Words>
  <Characters>520</Characters>
  <Lines>2</Lines>
  <Paragraphs>1</Paragraphs>
  <TotalTime>24</TotalTime>
  <ScaleCrop>false</ScaleCrop>
  <LinksUpToDate>false</LinksUpToDate>
  <CharactersWithSpaces>535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2024-04-25T00:30:00Z</dcterms:created>
  <dc:creator>dtt</dc:creator>
  <cp:lastModifiedBy>兔子</cp:lastModifiedBy>
  <cp:lastPrinted>2025-05-09T02:50:00Z</cp:lastPrinted>
  <dcterms:modified xsi:type="dcterms:W3CDTF">2025-06-27T03:04:04Z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69E0C92A6C8C41EAA66F98D5AAF13AE5_13</vt:lpwstr>
  </property>
  <property fmtid="{D5CDD505-2E9C-101B-9397-08002B2CF9AE}" pid="4" name="KSOTemplateDocerSaveRecord">
    <vt:lpwstr>eyJoZGlkIjoiMTYwYmI3MjI1MmE0MmQzOTQ0ZmM3YjgwYzcxMDQ4NmEiLCJ1c2VySWQiOiI2ODg4NjY1MDEifQ==</vt:lpwstr>
  </property>
</Properties>
</file>