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07D00C">
      <w:pPr>
        <w:spacing w:before="196" w:line="490" w:lineRule="exact"/>
        <w:ind w:left="977"/>
        <w:rPr>
          <w:rFonts w:ascii="宋体" w:hAnsi="宋体" w:eastAsia="宋体" w:cs="宋体"/>
          <w:spacing w:val="-1"/>
          <w:position w:val="2"/>
          <w:sz w:val="36"/>
          <w:szCs w:val="36"/>
          <w14:textOutline w14:w="6350" w14:cap="flat" w14:cmpd="sng">
            <w14:solidFill>
              <w14:srgbClr w14:val="000000"/>
            </w14:solidFill>
            <w14:prstDash w14:val="solid"/>
            <w14:miter w14:val="0"/>
          </w14:textOutline>
        </w:rPr>
      </w:pPr>
    </w:p>
    <w:p w14:paraId="0302648A">
      <w:pPr>
        <w:spacing w:before="196" w:line="490" w:lineRule="exact"/>
        <w:ind w:left="977"/>
        <w:rPr>
          <w:rFonts w:ascii="宋体" w:hAnsi="宋体" w:eastAsia="宋体" w:cs="宋体"/>
          <w:spacing w:val="-1"/>
          <w:position w:val="2"/>
          <w:sz w:val="36"/>
          <w:szCs w:val="36"/>
          <w14:textOutline w14:w="6350" w14:cap="flat" w14:cmpd="sng">
            <w14:solidFill>
              <w14:srgbClr w14:val="000000"/>
            </w14:solidFill>
            <w14:prstDash w14:val="solid"/>
            <w14:miter w14:val="0"/>
          </w14:textOutline>
        </w:rPr>
      </w:pPr>
    </w:p>
    <w:p w14:paraId="173BD063">
      <w:pPr>
        <w:spacing w:before="196" w:line="490" w:lineRule="exact"/>
        <w:jc w:val="center"/>
        <w:rPr>
          <w:rFonts w:ascii="宋体" w:hAnsi="宋体" w:eastAsia="宋体" w:cs="宋体"/>
          <w:sz w:val="44"/>
          <w:szCs w:val="44"/>
        </w:rPr>
      </w:pPr>
      <w:r>
        <w:rPr>
          <w:rFonts w:ascii="宋体" w:hAnsi="宋体" w:eastAsia="宋体" w:cs="宋体"/>
          <w:spacing w:val="-1"/>
          <w:position w:val="2"/>
          <w:sz w:val="44"/>
          <w:szCs w:val="44"/>
          <w14:textOutline w14:w="6350" w14:cap="flat" w14:cmpd="sng">
            <w14:solidFill>
              <w14:srgbClr w14:val="000000"/>
            </w14:solidFill>
            <w14:prstDash w14:val="solid"/>
            <w14:miter w14:val="0"/>
          </w14:textOutline>
        </w:rPr>
        <w:t>额尔古纳市</w:t>
      </w:r>
      <w:r>
        <w:rPr>
          <w:rFonts w:hint="eastAsia" w:ascii="宋体" w:hAnsi="宋体" w:eastAsia="宋体" w:cs="宋体"/>
          <w:spacing w:val="-1"/>
          <w:position w:val="2"/>
          <w:sz w:val="44"/>
          <w:szCs w:val="44"/>
          <w:lang w:val="en-US" w:eastAsia="zh-CN"/>
          <w14:textOutline w14:w="6350" w14:cap="flat" w14:cmpd="sng">
            <w14:solidFill>
              <w14:srgbClr w14:val="000000"/>
            </w14:solidFill>
            <w14:prstDash w14:val="solid"/>
            <w14:miter w14:val="0"/>
          </w14:textOutline>
        </w:rPr>
        <w:t>农牧局</w:t>
      </w:r>
      <w:r>
        <w:rPr>
          <w:rFonts w:ascii="宋体" w:hAnsi="宋体" w:eastAsia="宋体" w:cs="宋体"/>
          <w:spacing w:val="-1"/>
          <w:position w:val="2"/>
          <w:sz w:val="44"/>
          <w:szCs w:val="44"/>
          <w14:textOutline w14:w="6350" w14:cap="flat" w14:cmpd="sng">
            <w14:solidFill>
              <w14:srgbClr w14:val="000000"/>
            </w14:solidFill>
            <w14:prstDash w14:val="solid"/>
            <w14:miter w14:val="0"/>
          </w14:textOutline>
        </w:rPr>
        <w:t>监管对象行政检查抽查分级统计表</w:t>
      </w:r>
    </w:p>
    <w:p w14:paraId="59DCA534">
      <w:pPr>
        <w:pStyle w:val="2"/>
        <w:spacing w:line="221" w:lineRule="auto"/>
        <w:ind w:firstLine="612" w:firstLineChars="200"/>
        <w:jc w:val="both"/>
        <w:rPr>
          <w:spacing w:val="-2"/>
        </w:rPr>
      </w:pPr>
    </w:p>
    <w:p w14:paraId="328A66B5">
      <w:pPr>
        <w:pStyle w:val="2"/>
        <w:spacing w:line="221" w:lineRule="auto"/>
        <w:ind w:firstLine="612" w:firstLineChars="200"/>
        <w:jc w:val="both"/>
        <w:rPr>
          <w:rFonts w:hint="eastAsia" w:ascii="仿宋_GB2312" w:hAnsi="仿宋_GB2312" w:eastAsia="仿宋_GB2312" w:cs="仿宋_GB2312"/>
        </w:rPr>
      </w:pPr>
      <w:r>
        <w:rPr>
          <w:rFonts w:hint="eastAsia" w:ascii="仿宋_GB2312" w:hAnsi="仿宋_GB2312" w:eastAsia="仿宋_GB2312" w:cs="仿宋_GB2312"/>
          <w:spacing w:val="-2"/>
        </w:rPr>
        <w:t>利用额尔古纳市公共信用信息系统，对接监管对象的</w:t>
      </w:r>
      <w:r>
        <w:rPr>
          <w:rFonts w:hint="eastAsia" w:ascii="仿宋_GB2312" w:hAnsi="仿宋_GB2312" w:eastAsia="仿宋_GB2312" w:cs="仿宋_GB2312"/>
          <w:spacing w:val="-3"/>
        </w:rPr>
        <w:t>社会公共信用信息，综合利用信用信息与主体责任落实情况，将各监管</w:t>
      </w:r>
      <w:r>
        <w:rPr>
          <w:rFonts w:hint="eastAsia" w:ascii="仿宋_GB2312" w:hAnsi="仿宋_GB2312" w:eastAsia="仿宋_GB2312" w:cs="仿宋_GB2312"/>
          <w:spacing w:val="-8"/>
        </w:rPr>
        <w:t>对象的行政检查抽查分级分为</w:t>
      </w:r>
      <w:r>
        <w:rPr>
          <w:rFonts w:hint="eastAsia" w:ascii="仿宋_GB2312" w:hAnsi="仿宋_GB2312" w:eastAsia="仿宋_GB2312" w:cs="仿宋_GB2312"/>
          <w:spacing w:val="-8"/>
          <w:lang w:eastAsia="zh-CN"/>
        </w:rPr>
        <w:t>：优秀</w:t>
      </w:r>
      <w:r>
        <w:rPr>
          <w:rFonts w:hint="eastAsia" w:ascii="仿宋_GB2312" w:hAnsi="仿宋_GB2312" w:eastAsia="仿宋_GB2312" w:cs="仿宋_GB2312"/>
          <w:spacing w:val="-8"/>
        </w:rPr>
        <w:t>、</w:t>
      </w:r>
      <w:r>
        <w:rPr>
          <w:rFonts w:hint="eastAsia" w:ascii="仿宋_GB2312" w:hAnsi="仿宋_GB2312" w:eastAsia="仿宋_GB2312" w:cs="仿宋_GB2312"/>
          <w:spacing w:val="-8"/>
          <w:lang w:eastAsia="zh-CN"/>
        </w:rPr>
        <w:t>良好</w:t>
      </w:r>
      <w:r>
        <w:rPr>
          <w:rFonts w:hint="eastAsia" w:ascii="仿宋_GB2312" w:hAnsi="仿宋_GB2312" w:eastAsia="仿宋_GB2312" w:cs="仿宋_GB2312"/>
          <w:spacing w:val="-21"/>
        </w:rPr>
        <w:t>、</w:t>
      </w:r>
      <w:r>
        <w:rPr>
          <w:rFonts w:hint="eastAsia" w:ascii="仿宋_GB2312" w:hAnsi="仿宋_GB2312" w:eastAsia="仿宋_GB2312" w:cs="仿宋_GB2312"/>
          <w:spacing w:val="-21"/>
          <w:lang w:eastAsia="zh-CN"/>
        </w:rPr>
        <w:t>一般</w:t>
      </w:r>
      <w:r>
        <w:rPr>
          <w:rFonts w:hint="eastAsia" w:ascii="仿宋_GB2312" w:hAnsi="仿宋_GB2312" w:eastAsia="仿宋_GB2312" w:cs="仿宋_GB2312"/>
          <w:spacing w:val="-21"/>
        </w:rPr>
        <w:t>。</w:t>
      </w:r>
    </w:p>
    <w:p w14:paraId="6CC5169F">
      <w:pPr>
        <w:spacing w:line="296" w:lineRule="auto"/>
        <w:jc w:val="both"/>
        <w:rPr>
          <w:rFonts w:ascii="Arial"/>
          <w:sz w:val="21"/>
        </w:rPr>
      </w:pPr>
    </w:p>
    <w:p w14:paraId="0FBA17F3">
      <w:pPr>
        <w:spacing w:line="41" w:lineRule="exact"/>
      </w:pPr>
    </w:p>
    <w:tbl>
      <w:tblPr>
        <w:tblStyle w:val="5"/>
        <w:tblW w:w="10213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550"/>
        <w:gridCol w:w="7663"/>
      </w:tblGrid>
      <w:tr w14:paraId="4BA5EDF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24" w:hRule="atLeast"/>
        </w:trPr>
        <w:tc>
          <w:tcPr>
            <w:tcW w:w="2550" w:type="dxa"/>
            <w:vAlign w:val="top"/>
          </w:tcPr>
          <w:p w14:paraId="3A93886E">
            <w:pPr>
              <w:spacing w:line="240" w:lineRule="auto"/>
              <w:rPr>
                <w:rFonts w:ascii="Arial"/>
                <w:sz w:val="21"/>
              </w:rPr>
            </w:pPr>
          </w:p>
          <w:p w14:paraId="540E49E7">
            <w:pPr>
              <w:spacing w:line="240" w:lineRule="auto"/>
              <w:rPr>
                <w:rFonts w:ascii="Arial"/>
                <w:sz w:val="21"/>
              </w:rPr>
            </w:pPr>
          </w:p>
          <w:p w14:paraId="56B2BEBE">
            <w:pPr>
              <w:pStyle w:val="6"/>
              <w:spacing w:before="68" w:line="240" w:lineRule="auto"/>
              <w:ind w:left="114" w:right="103" w:firstLine="5"/>
            </w:pPr>
            <w:r>
              <w:rPr>
                <w:rFonts w:hint="eastAsia"/>
                <w:spacing w:val="-16"/>
                <w:lang w:eastAsia="zh-CN"/>
                <w14:textOutline w14:w="3831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优秀</w:t>
            </w:r>
            <w:r>
              <w:rPr>
                <w:spacing w:val="-20"/>
              </w:rPr>
              <w:t>：</w:t>
            </w:r>
            <w:r>
              <w:rPr>
                <w:spacing w:val="-16"/>
              </w:rPr>
              <w:t>具备良</w:t>
            </w:r>
            <w:r>
              <w:rPr>
                <w:spacing w:val="1"/>
              </w:rPr>
              <w:t>好的企业信誉，社会公共</w:t>
            </w:r>
            <w:r>
              <w:rPr>
                <w:spacing w:val="3"/>
              </w:rPr>
              <w:t xml:space="preserve"> </w:t>
            </w:r>
            <w:r>
              <w:rPr>
                <w:spacing w:val="1"/>
              </w:rPr>
              <w:t>信用等级较高</w:t>
            </w:r>
            <w:r>
              <w:rPr>
                <w:rFonts w:hint="eastAsia"/>
                <w:spacing w:val="1"/>
                <w:lang w:eastAsia="zh-CN"/>
              </w:rPr>
              <w:t>；</w:t>
            </w:r>
            <w:r>
              <w:rPr>
                <w:spacing w:val="8"/>
              </w:rPr>
              <w:t xml:space="preserve"> </w:t>
            </w:r>
            <w:r>
              <w:rPr>
                <w:spacing w:val="-3"/>
              </w:rPr>
              <w:t>近</w:t>
            </w:r>
            <w:r>
              <w:rPr>
                <w:spacing w:val="-23"/>
              </w:rPr>
              <w:t xml:space="preserve"> </w:t>
            </w:r>
            <w:r>
              <w:rPr>
                <w:rFonts w:ascii="Calibri" w:hAnsi="Calibri" w:eastAsia="Calibri" w:cs="Calibri"/>
                <w:spacing w:val="-3"/>
              </w:rPr>
              <w:t>3</w:t>
            </w:r>
            <w:r>
              <w:rPr>
                <w:spacing w:val="-3"/>
              </w:rPr>
              <w:t>年未发生安全生产事</w:t>
            </w:r>
            <w:r>
              <w:rPr>
                <w:spacing w:val="-10"/>
              </w:rPr>
              <w:t>故；</w:t>
            </w:r>
            <w:r>
              <w:rPr>
                <w:spacing w:val="-19"/>
              </w:rPr>
              <w:t xml:space="preserve"> </w:t>
            </w:r>
            <w:r>
              <w:rPr>
                <w:spacing w:val="-10"/>
              </w:rPr>
              <w:t>近</w:t>
            </w:r>
            <w:r>
              <w:rPr>
                <w:spacing w:val="-32"/>
              </w:rPr>
              <w:t xml:space="preserve"> </w:t>
            </w:r>
            <w:r>
              <w:rPr>
                <w:rFonts w:ascii="Calibri" w:hAnsi="Calibri" w:eastAsia="Calibri" w:cs="Calibri"/>
                <w:spacing w:val="-10"/>
              </w:rPr>
              <w:t>3</w:t>
            </w:r>
            <w:r>
              <w:rPr>
                <w:rFonts w:ascii="Calibri" w:hAnsi="Calibri" w:eastAsia="Calibri" w:cs="Calibri"/>
                <w:spacing w:val="23"/>
              </w:rPr>
              <w:t xml:space="preserve"> </w:t>
            </w:r>
            <w:r>
              <w:rPr>
                <w:spacing w:val="-10"/>
              </w:rPr>
              <w:t>年无有效投诉举报；</w:t>
            </w:r>
            <w:r>
              <w:rPr>
                <w:spacing w:val="-19"/>
              </w:rPr>
              <w:t xml:space="preserve"> </w:t>
            </w:r>
            <w:r>
              <w:rPr>
                <w:spacing w:val="-10"/>
              </w:rPr>
              <w:t>近</w:t>
            </w:r>
            <w:r>
              <w:rPr>
                <w:spacing w:val="-32"/>
              </w:rPr>
              <w:t xml:space="preserve"> </w:t>
            </w:r>
            <w:r>
              <w:rPr>
                <w:rFonts w:ascii="Calibri" w:hAnsi="Calibri" w:eastAsia="Calibri" w:cs="Calibri"/>
                <w:spacing w:val="-10"/>
              </w:rPr>
              <w:t>3</w:t>
            </w:r>
            <w:r>
              <w:rPr>
                <w:rFonts w:ascii="Calibri" w:hAnsi="Calibri" w:eastAsia="Calibri" w:cs="Calibri"/>
                <w:spacing w:val="23"/>
              </w:rPr>
              <w:t xml:space="preserve"> </w:t>
            </w:r>
            <w:r>
              <w:rPr>
                <w:spacing w:val="-10"/>
              </w:rPr>
              <w:t>年内无违法违规</w:t>
            </w:r>
            <w:r>
              <w:rPr>
                <w:spacing w:val="1"/>
              </w:rPr>
              <w:t>行为。以落实部门自主行</w:t>
            </w:r>
            <w:r>
              <w:rPr>
                <w:spacing w:val="-1"/>
              </w:rPr>
              <w:t>政检查为主。</w:t>
            </w:r>
          </w:p>
        </w:tc>
        <w:tc>
          <w:tcPr>
            <w:tcW w:w="7663" w:type="dxa"/>
            <w:vAlign w:val="top"/>
          </w:tcPr>
          <w:p w14:paraId="4B163326">
            <w:pPr>
              <w:pStyle w:val="6"/>
              <w:spacing w:before="308" w:line="220" w:lineRule="auto"/>
              <w:ind w:left="112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额尔古纳市拉布大林丽萍农机配件商店、额尔古纳市上库力鑫金钢农机配件商店、额尔古纳市拉布大林金全农机配件商店、额尔古纳市拉布大林炳超大型农机配件商店、额尔古纳市鑫亚细亚农机商店、额尔古纳市三河龙泉修理部、额尔古纳市三河富兴隆物资配件商店、额尔古纳市三河诚信农机配件商店、额尔古纳市苏沁天诚配件商店、额尔古纳市苏沁鑫德源综合商店、额尔古纳市苏沁启明综合商店、额尔古纳市拉布大林鑫源农机配件商店、荣旺粮油饲料商店、兴隆饲料店、额尔古纳市苏沁顺顺康兽药店、额尔古纳市上库力立军北方兽药店、额尔古纳市拉布大林兴顺兽药店、北方兽药店、畜康兽药店、牧之家兽药店、鑫运粮油饲料店、大顺粮油饲料商店、永发粮油饲料商店。</w:t>
            </w:r>
            <w:bookmarkStart w:id="0" w:name="_GoBack"/>
            <w:bookmarkEnd w:id="0"/>
          </w:p>
        </w:tc>
      </w:tr>
      <w:tr w14:paraId="221EF39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90" w:hRule="atLeast"/>
        </w:trPr>
        <w:tc>
          <w:tcPr>
            <w:tcW w:w="2550" w:type="dxa"/>
            <w:vAlign w:val="top"/>
          </w:tcPr>
          <w:p w14:paraId="1C0B6D1A">
            <w:pPr>
              <w:pStyle w:val="6"/>
              <w:spacing w:before="274" w:line="240" w:lineRule="auto"/>
              <w:ind w:right="103"/>
              <w:jc w:val="both"/>
            </w:pPr>
            <w:r>
              <w:rPr>
                <w:rFonts w:hint="eastAsia"/>
                <w:spacing w:val="-16"/>
                <w:lang w:eastAsia="zh-CN"/>
                <w14:textOutline w14:w="3831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良好</w:t>
            </w:r>
            <w:r>
              <w:rPr>
                <w:spacing w:val="-21"/>
              </w:rPr>
              <w:t>：</w:t>
            </w:r>
            <w:r>
              <w:rPr>
                <w:spacing w:val="-16"/>
              </w:rPr>
              <w:t>具备</w:t>
            </w:r>
            <w:r>
              <w:rPr>
                <w:spacing w:val="1"/>
              </w:rPr>
              <w:t xml:space="preserve"> </w:t>
            </w:r>
            <w:r>
              <w:t>一般的企业信誉，社会公</w:t>
            </w:r>
            <w:r>
              <w:rPr>
                <w:spacing w:val="1"/>
              </w:rPr>
              <w:t>共信用等级一般；基本落</w:t>
            </w:r>
            <w:r>
              <w:t>实安全生产主体责任；近</w:t>
            </w:r>
            <w:r>
              <w:rPr>
                <w:rFonts w:ascii="Calibri" w:hAnsi="Calibri" w:eastAsia="Calibri" w:cs="Calibri"/>
                <w:spacing w:val="19"/>
              </w:rPr>
              <w:t>1</w:t>
            </w:r>
            <w:r>
              <w:rPr>
                <w:spacing w:val="19"/>
              </w:rPr>
              <w:t>年未发生安全生产事</w:t>
            </w:r>
            <w:r>
              <w:rPr>
                <w:spacing w:val="-11"/>
              </w:rPr>
              <w:t>故；</w:t>
            </w:r>
            <w:r>
              <w:rPr>
                <w:spacing w:val="-16"/>
              </w:rPr>
              <w:t xml:space="preserve"> </w:t>
            </w:r>
            <w:r>
              <w:rPr>
                <w:spacing w:val="-11"/>
              </w:rPr>
              <w:t>近</w:t>
            </w:r>
            <w:r>
              <w:rPr>
                <w:spacing w:val="-24"/>
              </w:rPr>
              <w:t xml:space="preserve"> </w:t>
            </w:r>
            <w:r>
              <w:rPr>
                <w:rFonts w:ascii="Calibri" w:hAnsi="Calibri" w:eastAsia="Calibri" w:cs="Calibri"/>
                <w:spacing w:val="-11"/>
              </w:rPr>
              <w:t>1</w:t>
            </w:r>
            <w:r>
              <w:rPr>
                <w:spacing w:val="-11"/>
              </w:rPr>
              <w:t>年无有效投诉举报；</w:t>
            </w:r>
            <w:r>
              <w:rPr>
                <w:spacing w:val="-16"/>
              </w:rPr>
              <w:t xml:space="preserve"> </w:t>
            </w:r>
            <w:r>
              <w:rPr>
                <w:spacing w:val="-11"/>
              </w:rPr>
              <w:t>近</w:t>
            </w:r>
            <w:r>
              <w:rPr>
                <w:spacing w:val="-24"/>
              </w:rPr>
              <w:t xml:space="preserve"> </w:t>
            </w:r>
            <w:r>
              <w:rPr>
                <w:rFonts w:ascii="Calibri" w:hAnsi="Calibri" w:eastAsia="Calibri" w:cs="Calibri"/>
                <w:spacing w:val="-11"/>
              </w:rPr>
              <w:t>1</w:t>
            </w:r>
            <w:r>
              <w:rPr>
                <w:spacing w:val="-11"/>
              </w:rPr>
              <w:t>年无违法违规行</w:t>
            </w:r>
            <w:r>
              <w:rPr>
                <w:spacing w:val="1"/>
              </w:rPr>
              <w:t>为。以落实部门自主行政检查为主，增设部门联合</w:t>
            </w:r>
            <w:r>
              <w:rPr>
                <w:spacing w:val="-4"/>
              </w:rPr>
              <w:t>行政检查为辅。</w:t>
            </w:r>
          </w:p>
        </w:tc>
        <w:tc>
          <w:tcPr>
            <w:tcW w:w="7663" w:type="dxa"/>
            <w:vAlign w:val="top"/>
          </w:tcPr>
          <w:p w14:paraId="2A5861AA">
            <w:pPr>
              <w:pStyle w:val="6"/>
              <w:spacing w:before="297" w:line="220" w:lineRule="auto"/>
              <w:ind w:left="113"/>
              <w:rPr>
                <w:sz w:val="22"/>
                <w:szCs w:val="22"/>
              </w:rPr>
            </w:pPr>
          </w:p>
        </w:tc>
      </w:tr>
      <w:tr w14:paraId="3276CD9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90" w:hRule="atLeast"/>
        </w:trPr>
        <w:tc>
          <w:tcPr>
            <w:tcW w:w="2550" w:type="dxa"/>
            <w:vAlign w:val="top"/>
          </w:tcPr>
          <w:p w14:paraId="2B1D9DE8">
            <w:pPr>
              <w:pStyle w:val="6"/>
              <w:spacing w:before="274" w:line="240" w:lineRule="auto"/>
              <w:ind w:left="115" w:right="59"/>
              <w:jc w:val="both"/>
              <w:rPr>
                <w:rFonts w:hint="eastAsia"/>
                <w:spacing w:val="-16"/>
                <w:lang w:eastAsia="zh-CN"/>
                <w14:textOutline w14:w="3831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</w:pPr>
            <w:r>
              <w:rPr>
                <w:rFonts w:hint="eastAsia"/>
                <w:spacing w:val="-6"/>
                <w:lang w:eastAsia="zh-CN"/>
                <w14:textOutline w14:w="3831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一般</w:t>
            </w:r>
            <w:r>
              <w:rPr>
                <w:spacing w:val="-46"/>
              </w:rPr>
              <w:t>：</w:t>
            </w:r>
            <w:r>
              <w:t xml:space="preserve"> 企业信誉一般或较差，社会公共信用等级较低；未</w:t>
            </w:r>
            <w:r>
              <w:rPr>
                <w:spacing w:val="1"/>
              </w:rPr>
              <w:t>较好落实安全生产主体责</w:t>
            </w:r>
            <w:r>
              <w:rPr>
                <w:spacing w:val="-10"/>
              </w:rPr>
              <w:t>任；</w:t>
            </w:r>
            <w:r>
              <w:rPr>
                <w:spacing w:val="-20"/>
              </w:rPr>
              <w:t xml:space="preserve"> </w:t>
            </w:r>
            <w:r>
              <w:rPr>
                <w:spacing w:val="-10"/>
              </w:rPr>
              <w:t>近</w:t>
            </w:r>
            <w:r>
              <w:rPr>
                <w:spacing w:val="-32"/>
              </w:rPr>
              <w:t xml:space="preserve"> </w:t>
            </w:r>
            <w:r>
              <w:rPr>
                <w:rFonts w:ascii="Calibri" w:hAnsi="Calibri" w:eastAsia="Calibri" w:cs="Calibri"/>
                <w:spacing w:val="-10"/>
              </w:rPr>
              <w:t>3</w:t>
            </w:r>
            <w:r>
              <w:rPr>
                <w:spacing w:val="-10"/>
              </w:rPr>
              <w:t>年发生安全生产</w:t>
            </w:r>
            <w:r>
              <w:rPr>
                <w:spacing w:val="-11"/>
              </w:rPr>
              <w:t>事故； 近</w:t>
            </w:r>
            <w:r>
              <w:rPr>
                <w:spacing w:val="-32"/>
              </w:rPr>
              <w:t xml:space="preserve"> </w:t>
            </w:r>
            <w:r>
              <w:rPr>
                <w:rFonts w:ascii="Calibri" w:hAnsi="Calibri" w:eastAsia="Calibri" w:cs="Calibri"/>
                <w:spacing w:val="-11"/>
              </w:rPr>
              <w:t>3</w:t>
            </w:r>
            <w:r>
              <w:rPr>
                <w:spacing w:val="-11"/>
              </w:rPr>
              <w:t>年被有效投诉举报； 近</w:t>
            </w:r>
            <w:r>
              <w:rPr>
                <w:spacing w:val="-32"/>
              </w:rPr>
              <w:t xml:space="preserve"> </w:t>
            </w:r>
            <w:r>
              <w:rPr>
                <w:rFonts w:ascii="Calibri" w:hAnsi="Calibri" w:eastAsia="Calibri" w:cs="Calibri"/>
                <w:spacing w:val="-11"/>
              </w:rPr>
              <w:t>3</w:t>
            </w:r>
            <w:r>
              <w:rPr>
                <w:spacing w:val="-11"/>
              </w:rPr>
              <w:t>年内存在违法</w:t>
            </w:r>
            <w:r>
              <w:t xml:space="preserve"> </w:t>
            </w:r>
            <w:r>
              <w:rPr>
                <w:spacing w:val="1"/>
              </w:rPr>
              <w:t>违规行为并被处以行政处</w:t>
            </w:r>
            <w:r>
              <w:rPr>
                <w:spacing w:val="2"/>
              </w:rPr>
              <w:t xml:space="preserve"> </w:t>
            </w:r>
            <w:r>
              <w:rPr>
                <w:spacing w:val="1"/>
              </w:rPr>
              <w:t>罚。以落实部门自主行政</w:t>
            </w:r>
            <w:r>
              <w:rPr>
                <w:spacing w:val="2"/>
              </w:rPr>
              <w:t xml:space="preserve"> </w:t>
            </w:r>
            <w:r>
              <w:rPr>
                <w:spacing w:val="1"/>
              </w:rPr>
              <w:t>检查为主，增设部门专项</w:t>
            </w:r>
            <w:r>
              <w:rPr>
                <w:spacing w:val="2"/>
              </w:rPr>
              <w:t xml:space="preserve"> </w:t>
            </w:r>
            <w:r>
              <w:rPr>
                <w:spacing w:val="1"/>
              </w:rPr>
              <w:t>行政检查，增设部门联合</w:t>
            </w:r>
            <w:r>
              <w:rPr>
                <w:spacing w:val="-5"/>
              </w:rPr>
              <w:t>行政检查。</w:t>
            </w:r>
          </w:p>
        </w:tc>
        <w:tc>
          <w:tcPr>
            <w:tcW w:w="7663" w:type="dxa"/>
            <w:vAlign w:val="top"/>
          </w:tcPr>
          <w:p w14:paraId="466F633F">
            <w:pPr>
              <w:pStyle w:val="6"/>
              <w:spacing w:before="297" w:line="220" w:lineRule="auto"/>
              <w:ind w:left="113"/>
              <w:rPr>
                <w:sz w:val="22"/>
                <w:szCs w:val="22"/>
              </w:rPr>
            </w:pPr>
          </w:p>
        </w:tc>
      </w:tr>
    </w:tbl>
    <w:p w14:paraId="4A092694"/>
    <w:sectPr>
      <w:headerReference r:id="rId5" w:type="default"/>
      <w:footerReference r:id="rId6" w:type="default"/>
      <w:pgSz w:w="11907" w:h="16839"/>
      <w:pgMar w:top="400" w:right="785" w:bottom="2239" w:left="902" w:header="0" w:footer="1932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EBD80A5">
    <w:pPr>
      <w:pStyle w:val="2"/>
      <w:spacing w:line="177" w:lineRule="auto"/>
      <w:ind w:left="8743"/>
    </w:pPr>
    <w:r>
      <w:rPr>
        <w:spacing w:val="-13"/>
      </w:rPr>
      <w:t>-</w:t>
    </w:r>
    <w:r>
      <w:rPr>
        <w:spacing w:val="44"/>
      </w:rPr>
      <w:t xml:space="preserve"> </w:t>
    </w:r>
    <w:r>
      <w:rPr>
        <w:spacing w:val="-13"/>
      </w:rPr>
      <w:t>3</w:t>
    </w:r>
    <w:r>
      <w:rPr>
        <w:spacing w:val="14"/>
      </w:rPr>
      <w:t xml:space="preserve"> </w:t>
    </w:r>
    <w:r>
      <w:rPr>
        <w:spacing w:val="-13"/>
      </w:rPr>
      <w:t>-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9828CE6">
    <w:pPr>
      <w:spacing w:line="14" w:lineRule="auto"/>
      <w:rPr>
        <w:rFonts w:ascii="Arial"/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I3ZjgwYmVjOGExZGRkYmNjNTQ3YzQyOWY2YjBjZjMifQ=="/>
  </w:docVars>
  <w:rsids>
    <w:rsidRoot w:val="6FF81B33"/>
    <w:rsid w:val="1BE84509"/>
    <w:rsid w:val="2A9C7D14"/>
    <w:rsid w:val="41AC1CFC"/>
    <w:rsid w:val="47D938FC"/>
    <w:rsid w:val="4AA215A2"/>
    <w:rsid w:val="691C1682"/>
    <w:rsid w:val="6FF81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semiHidden/>
    <w:qFormat/>
    <w:uiPriority w:val="0"/>
    <w:rPr>
      <w:rFonts w:ascii="仿宋" w:hAnsi="仿宋" w:eastAsia="仿宋" w:cs="仿宋"/>
      <w:sz w:val="31"/>
      <w:szCs w:val="31"/>
      <w:lang w:val="en-US" w:eastAsia="en-US" w:bidi="ar-SA"/>
    </w:rPr>
  </w:style>
  <w:style w:type="table" w:customStyle="1" w:styleId="5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autoRedefine/>
    <w:semiHidden/>
    <w:qFormat/>
    <w:uiPriority w:val="0"/>
    <w:rPr>
      <w:rFonts w:ascii="宋体" w:hAnsi="宋体" w:eastAsia="宋体" w:cs="宋体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438</Words>
  <Characters>442</Characters>
  <Lines>0</Lines>
  <Paragraphs>0</Paragraphs>
  <TotalTime>13</TotalTime>
  <ScaleCrop>false</ScaleCrop>
  <LinksUpToDate>false</LinksUpToDate>
  <CharactersWithSpaces>482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2024-01-30T06:15:00Z</dcterms:created>
  <dc:creator>WPS_1697857271</dc:creator>
  <cp:lastModifiedBy>蓝天翔</cp:lastModifiedBy>
  <dcterms:modified xsi:type="dcterms:W3CDTF">2025-09-26T02:13:02Z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02992661180C47959D450761468C672F_13</vt:lpwstr>
  </property>
  <property fmtid="{D5CDD505-2E9C-101B-9397-08002B2CF9AE}" pid="4" name="KSOTemplateDocerSaveRecord">
    <vt:lpwstr>eyJoZGlkIjoiM2I3ZjgwYmVjOGExZGRkYmNjNTQ3YzQyOWY2YjBjZjMiLCJ1c2VySWQiOiI0MjQyODYxMTEifQ==</vt:lpwstr>
  </property>
</Properties>
</file>