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A84ACF">
      <w:pPr>
        <w:jc w:val="center"/>
        <w:rPr>
          <w:rFonts w:hint="eastAsia" w:ascii="汉仪方叠体简" w:hAnsi="汉仪方叠体简" w:eastAsia="汉仪方叠体简" w:cs="汉仪方叠体简"/>
          <w:color w:val="FF0000"/>
          <w:sz w:val="120"/>
          <w:szCs w:val="120"/>
          <w:lang w:eastAsia="zh-CN"/>
        </w:rPr>
      </w:pPr>
      <w:r>
        <w:rPr>
          <w:rFonts w:hint="eastAsia" w:ascii="汉仪方叠体简" w:hAnsi="汉仪方叠体简" w:eastAsia="汉仪方叠体简" w:cs="汉仪方叠体简"/>
          <w:color w:val="FF0000"/>
          <w:sz w:val="120"/>
          <w:szCs w:val="120"/>
          <w:lang w:eastAsia="zh-CN"/>
        </w:rPr>
        <w:t>额尔古纳就业</w:t>
      </w:r>
    </w:p>
    <w:p w14:paraId="50BF5555">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jc w:val="center"/>
        <w:textAlignment w:val="baseline"/>
        <w:rPr>
          <w:rFonts w:ascii="Calibri" w:hAnsi="宋体" w:eastAsia="仿宋_GB2312" w:cs="宋体"/>
          <w:color w:val="FF0000"/>
          <w:kern w:val="0"/>
          <w:sz w:val="32"/>
          <w:szCs w:val="20"/>
        </w:rPr>
      </w:pPr>
      <w:r>
        <w:rPr>
          <w:rFonts w:hint="eastAsia" w:ascii="Calibri" w:hAnsi="宋体" w:eastAsia="仿宋_GB2312" w:cs="宋体"/>
          <w:color w:val="FF0000"/>
          <w:kern w:val="0"/>
          <w:sz w:val="32"/>
          <w:szCs w:val="20"/>
        </w:rPr>
        <w:t>（202</w:t>
      </w:r>
      <w:r>
        <w:rPr>
          <w:rFonts w:hint="eastAsia" w:hAnsi="宋体" w:eastAsia="仿宋_GB2312" w:cs="宋体"/>
          <w:color w:val="FF0000"/>
          <w:kern w:val="0"/>
          <w:sz w:val="32"/>
          <w:szCs w:val="20"/>
          <w:lang w:val="en-US" w:eastAsia="zh-CN"/>
        </w:rPr>
        <w:t>5</w:t>
      </w:r>
      <w:r>
        <w:rPr>
          <w:rFonts w:hint="eastAsia" w:ascii="Calibri" w:hAnsi="宋体" w:eastAsia="仿宋_GB2312" w:cs="宋体"/>
          <w:color w:val="FF0000"/>
          <w:kern w:val="0"/>
          <w:sz w:val="32"/>
          <w:szCs w:val="20"/>
        </w:rPr>
        <w:t>年第</w:t>
      </w:r>
      <w:r>
        <w:rPr>
          <w:rFonts w:hint="eastAsia" w:hAnsi="宋体" w:eastAsia="仿宋_GB2312" w:cs="宋体"/>
          <w:color w:val="FF0000"/>
          <w:kern w:val="0"/>
          <w:sz w:val="32"/>
          <w:szCs w:val="20"/>
          <w:lang w:val="en-US" w:eastAsia="zh-CN"/>
        </w:rPr>
        <w:t>113</w:t>
      </w:r>
      <w:r>
        <w:rPr>
          <w:rFonts w:hint="eastAsia" w:ascii="Calibri" w:hAnsi="宋体" w:eastAsia="仿宋_GB2312" w:cs="宋体"/>
          <w:color w:val="FF0000"/>
          <w:kern w:val="0"/>
          <w:sz w:val="32"/>
          <w:szCs w:val="20"/>
        </w:rPr>
        <w:t>期）</w:t>
      </w:r>
    </w:p>
    <w:p w14:paraId="15CFCC36">
      <w:pPr>
        <w:keepNext w:val="0"/>
        <w:keepLines w:val="0"/>
        <w:pageBreakBefore w:val="0"/>
        <w:widowControl/>
        <w:suppressLineNumbers w:val="0"/>
        <w:kinsoku/>
        <w:wordWrap/>
        <w:overflowPunct/>
        <w:topLinePunct w:val="0"/>
        <w:autoSpaceDE/>
        <w:autoSpaceDN/>
        <w:bidi w:val="0"/>
        <w:adjustRightInd w:val="0"/>
        <w:snapToGrid w:val="0"/>
        <w:spacing w:line="560" w:lineRule="exact"/>
        <w:ind w:right="0" w:rightChars="0"/>
        <w:jc w:val="both"/>
        <w:textAlignment w:val="auto"/>
        <w:outlineLvl w:val="9"/>
        <w:rPr>
          <w:rFonts w:hint="default" w:ascii="方正小标宋_GBK" w:hAnsi="方正小标宋_GBK" w:eastAsia="方正小标宋_GBK" w:cs="方正小标宋_GBK"/>
          <w:b w:val="0"/>
          <w:bCs w:val="0"/>
          <w:sz w:val="44"/>
          <w:szCs w:val="44"/>
          <w:u w:val="thick"/>
          <w:lang w:val="en-US" w:eastAsia="zh-CN"/>
        </w:rPr>
      </w:pPr>
      <w:r>
        <w:rPr>
          <w:rFonts w:hint="eastAsia" w:hAnsi="宋体" w:eastAsia="仿宋_GB2312" w:cs="宋体"/>
          <w:kern w:val="0"/>
          <w:sz w:val="32"/>
          <w:szCs w:val="20"/>
          <w:u w:val="thick" w:color="FF0000"/>
        </w:rPr>
        <w:t>额尔古纳市就业服务</w:t>
      </w:r>
      <w:r>
        <w:rPr>
          <w:rFonts w:hint="eastAsia" w:hAnsi="宋体" w:eastAsia="仿宋_GB2312" w:cs="宋体"/>
          <w:kern w:val="0"/>
          <w:sz w:val="32"/>
          <w:szCs w:val="20"/>
          <w:u w:val="thick" w:color="FF0000"/>
          <w:lang w:eastAsia="zh-CN"/>
        </w:rPr>
        <w:t>中心</w:t>
      </w:r>
      <w:r>
        <w:rPr>
          <w:rFonts w:hint="eastAsia" w:hAnsi="宋体" w:eastAsia="仿宋_GB2312" w:cs="宋体"/>
          <w:kern w:val="0"/>
          <w:sz w:val="32"/>
          <w:szCs w:val="20"/>
          <w:u w:val="thick" w:color="FF0000"/>
        </w:rPr>
        <w:t xml:space="preserve">      　  </w:t>
      </w:r>
      <w:r>
        <w:rPr>
          <w:rFonts w:hint="eastAsia" w:hAnsi="宋体" w:eastAsia="仿宋_GB2312" w:cs="宋体"/>
          <w:kern w:val="0"/>
          <w:sz w:val="32"/>
          <w:szCs w:val="20"/>
          <w:u w:val="thick" w:color="FF0000"/>
          <w:lang w:val="en-US" w:eastAsia="zh-CN"/>
        </w:rPr>
        <w:t xml:space="preserve">       2025</w:t>
      </w:r>
      <w:r>
        <w:rPr>
          <w:rFonts w:hint="eastAsia" w:hAnsi="宋体" w:eastAsia="仿宋_GB2312" w:cs="宋体"/>
          <w:kern w:val="0"/>
          <w:sz w:val="32"/>
          <w:szCs w:val="20"/>
          <w:u w:val="thick" w:color="FF0000"/>
        </w:rPr>
        <w:t>年</w:t>
      </w:r>
      <w:r>
        <w:rPr>
          <w:rFonts w:hint="eastAsia" w:hAnsi="宋体" w:eastAsia="仿宋_GB2312" w:cs="宋体"/>
          <w:kern w:val="0"/>
          <w:sz w:val="32"/>
          <w:szCs w:val="20"/>
          <w:u w:val="thick" w:color="FF0000"/>
          <w:lang w:val="en-US" w:eastAsia="zh-CN"/>
        </w:rPr>
        <w:t>11</w:t>
      </w:r>
      <w:r>
        <w:rPr>
          <w:rFonts w:hint="eastAsia" w:hAnsi="仿宋_GB2312" w:eastAsia="仿宋_GB2312" w:cs="宋体"/>
          <w:spacing w:val="4"/>
          <w:kern w:val="0"/>
          <w:sz w:val="32"/>
          <w:szCs w:val="21"/>
          <w:u w:val="thick" w:color="FF0000"/>
        </w:rPr>
        <w:t>月</w:t>
      </w:r>
      <w:r>
        <w:rPr>
          <w:rFonts w:hint="eastAsia" w:hAnsi="仿宋_GB2312" w:eastAsia="仿宋_GB2312" w:cs="宋体"/>
          <w:spacing w:val="4"/>
          <w:kern w:val="0"/>
          <w:sz w:val="32"/>
          <w:szCs w:val="21"/>
          <w:u w:val="thick" w:color="FF0000"/>
          <w:lang w:val="en-US" w:eastAsia="zh-CN"/>
        </w:rPr>
        <w:t>14</w:t>
      </w:r>
      <w:bookmarkStart w:id="0" w:name="_GoBack"/>
      <w:bookmarkEnd w:id="0"/>
      <w:r>
        <w:rPr>
          <w:rFonts w:hint="eastAsia" w:hAnsi="仿宋_GB2312" w:eastAsia="仿宋_GB2312" w:cs="宋体"/>
          <w:spacing w:val="4"/>
          <w:kern w:val="0"/>
          <w:sz w:val="32"/>
          <w:szCs w:val="21"/>
          <w:u w:val="thick" w:color="FF0000"/>
          <w:lang w:val="en-US" w:eastAsia="zh-CN"/>
        </w:rPr>
        <w:t xml:space="preserve">日     </w:t>
      </w:r>
    </w:p>
    <w:p w14:paraId="5E40D809">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snapToGrid w:val="0"/>
          <w:sz w:val="44"/>
          <w:szCs w:val="44"/>
          <w:lang w:val="en-US" w:eastAsia="zh-CN"/>
        </w:rPr>
      </w:pPr>
    </w:p>
    <w:p w14:paraId="12A049C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方正仿宋_GB2312" w:hAnsi="方正仿宋_GB2312" w:eastAsia="微软雅黑" w:cs="方正仿宋_GB2312"/>
          <w:b w:val="0"/>
          <w:bCs w:val="0"/>
          <w:snapToGrid w:val="0"/>
          <w:sz w:val="32"/>
          <w:szCs w:val="32"/>
          <w:lang w:val="en-US" w:eastAsia="zh-CN"/>
        </w:rPr>
      </w:pPr>
      <w:r>
        <w:rPr>
          <w:rFonts w:hint="eastAsia" w:ascii="微软雅黑" w:hAnsi="微软雅黑" w:eastAsia="微软雅黑" w:cs="微软雅黑"/>
          <w:snapToGrid w:val="0"/>
          <w:sz w:val="44"/>
          <w:szCs w:val="44"/>
          <w:lang w:val="en-US" w:eastAsia="zh-CN"/>
        </w:rPr>
        <w:t>聚焦民生保障 传承民族技艺</w:t>
      </w:r>
    </w:p>
    <w:p w14:paraId="4BDBD65F">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b w:val="0"/>
          <w:bCs w:val="0"/>
          <w:snapToGrid w:val="0"/>
          <w:sz w:val="32"/>
          <w:szCs w:val="32"/>
          <w:lang w:val="en-US" w:eastAsia="zh-CN"/>
        </w:rPr>
      </w:pPr>
    </w:p>
    <w:p w14:paraId="4C328652">
      <w:pPr>
        <w:keepNext w:val="0"/>
        <w:keepLines w:val="0"/>
        <w:pageBreakBefore w:val="0"/>
        <w:widowControl w:val="0"/>
        <w:kinsoku/>
        <w:wordWrap/>
        <w:overflowPunct/>
        <w:topLinePunct w:val="0"/>
        <w:autoSpaceDE/>
        <w:autoSpaceDN/>
        <w:bidi w:val="0"/>
        <w:adjustRightInd/>
        <w:snapToGrid/>
        <w:spacing w:line="560" w:lineRule="exact"/>
        <w:ind w:firstLine="562" w:firstLineChars="200"/>
        <w:jc w:val="right"/>
        <w:textAlignment w:val="auto"/>
        <w:rPr>
          <w:rFonts w:hint="eastAsia" w:ascii="方正仿宋_GB2312" w:hAnsi="方正仿宋_GB2312" w:eastAsia="方正仿宋_GB2312" w:cs="方正仿宋_GB2312"/>
          <w:b w:val="0"/>
          <w:bCs w:val="0"/>
          <w:sz w:val="32"/>
          <w:szCs w:val="32"/>
          <w:lang w:val="en-US" w:eastAsia="zh-CN"/>
        </w:rPr>
      </w:pPr>
      <w:r>
        <w:rPr>
          <w:rFonts w:hint="eastAsia" w:ascii="楷体" w:hAnsi="楷体" w:eastAsia="楷体" w:cs="楷体"/>
          <w:b/>
          <w:bCs/>
          <w:sz w:val="28"/>
          <w:szCs w:val="28"/>
          <w:lang w:val="en-US" w:eastAsia="zh-CN"/>
        </w:rPr>
        <w:t>——额尔古纳市民族手工培训班精准赋能失业人员</w:t>
      </w:r>
    </w:p>
    <w:p w14:paraId="41720827">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方正仿宋_GB2312" w:hAnsi="方正仿宋_GB2312" w:eastAsia="方正仿宋_GB2312" w:cs="方正仿宋_GB2312"/>
          <w:b w:val="0"/>
          <w:bCs w:val="0"/>
          <w:sz w:val="32"/>
          <w:szCs w:val="32"/>
          <w:lang w:val="en-US" w:eastAsia="zh-CN"/>
        </w:rPr>
      </w:pPr>
      <w:r>
        <w:rPr>
          <w:rFonts w:hint="eastAsia" w:ascii="方正仿宋_GB2312" w:hAnsi="方正仿宋_GB2312" w:eastAsia="方正仿宋_GB2312" w:cs="方正仿宋_GB2312"/>
          <w:b w:val="0"/>
          <w:bCs w:val="0"/>
          <w:sz w:val="32"/>
          <w:szCs w:val="32"/>
          <w:lang w:val="en-US" w:eastAsia="zh-CN"/>
        </w:rPr>
        <w:t>为深入贯彻落实乡村振兴战略和就业扶持政策，近日，额尔古纳市就业服务中心在三河回族乡组织的民族手工艺品制作技能培训班顺利结业。</w:t>
      </w:r>
    </w:p>
    <w:p w14:paraId="00A1BBCF">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方正仿宋_GB2312" w:hAnsi="方正仿宋_GB2312" w:eastAsia="方正仿宋_GB2312" w:cs="方正仿宋_GB2312"/>
          <w:b w:val="0"/>
          <w:bCs w:val="0"/>
          <w:sz w:val="32"/>
          <w:szCs w:val="32"/>
          <w:lang w:val="en-US" w:eastAsia="zh-CN"/>
        </w:rPr>
      </w:pPr>
      <w:r>
        <w:rPr>
          <w:rFonts w:hint="eastAsia" w:ascii="方正仿宋_GB2312" w:hAnsi="方正仿宋_GB2312" w:eastAsia="方正仿宋_GB2312" w:cs="方正仿宋_GB2312"/>
          <w:b w:val="0"/>
          <w:bCs w:val="0"/>
          <w:sz w:val="32"/>
          <w:szCs w:val="32"/>
          <w:lang w:val="en-US" w:eastAsia="zh-CN"/>
        </w:rPr>
        <w:t>本次培训是就业服务中心积极响应“以培训促就业、以技能稳增收”政策号召的具体行动，也是推动乡村人才振兴的重要举措。培训为期7天，紧紧围绕传承弘扬少数民族传统手工技艺、提升特色产品市场竞争力这一核心目标，精准面向三河回族乡24名城镇登记失业人员开展。培训严格遵循《呼伦贝尔市职业技能项目制培训实施细则(试行)》要求，采用“理论+实操”相结合的模式，确保政策落地见效。授课老师通过自主学习与合作学习融合的教学方式，激发学员主动性，并一对一传授手工艺品设计、布料甄选、色彩搭配及裁剪等核心技艺，有效提升了学员的就业技能水平。</w:t>
      </w:r>
    </w:p>
    <w:p w14:paraId="433B6A2F">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方正仿宋_GB2312" w:hAnsi="方正仿宋_GB2312" w:eastAsia="方正仿宋_GB2312" w:cs="方正仿宋_GB2312"/>
          <w:b w:val="0"/>
          <w:bCs w:val="0"/>
          <w:sz w:val="32"/>
          <w:szCs w:val="32"/>
          <w:lang w:val="en-US" w:eastAsia="zh-CN"/>
        </w:rPr>
      </w:pPr>
      <w:r>
        <w:rPr>
          <w:rFonts w:hint="eastAsia" w:ascii="方正仿宋_GB2312" w:hAnsi="方正仿宋_GB2312" w:eastAsia="方正仿宋_GB2312" w:cs="方正仿宋_GB2312"/>
          <w:b w:val="0"/>
          <w:bCs w:val="0"/>
          <w:sz w:val="32"/>
          <w:szCs w:val="32"/>
          <w:lang w:val="en-US" w:eastAsia="zh-CN"/>
        </w:rPr>
        <w:t>结业典礼上，合格学员获颁培训证书，现场展示的学员作品受到广泛好评。此次培训不仅实现了“志智双扶”与技能提升的双重目标，更切实增强了失业人员的就业竞争力，为他们拓宽了政策支持下的增收路径，是将民族文化传承与就业帮扶、乡村振兴战略深度融合的生动实践。</w:t>
      </w:r>
    </w:p>
    <w:p w14:paraId="4EA42D8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方正仿宋_GB2312" w:hAnsi="方正仿宋_GB2312" w:eastAsia="方正仿宋_GB2312" w:cs="方正仿宋_GB2312"/>
          <w:b w:val="0"/>
          <w:bCs w:val="0"/>
          <w:sz w:val="32"/>
          <w:szCs w:val="32"/>
          <w:lang w:val="en-US" w:eastAsia="zh-CN"/>
        </w:rPr>
      </w:pPr>
      <w:r>
        <w:rPr>
          <w:rFonts w:hint="eastAsia" w:ascii="方正仿宋_GB2312" w:hAnsi="方正仿宋_GB2312" w:eastAsia="方正仿宋_GB2312" w:cs="方正仿宋_GB2312"/>
          <w:b w:val="0"/>
          <w:bCs w:val="0"/>
          <w:sz w:val="32"/>
          <w:szCs w:val="32"/>
          <w:lang w:val="en-US" w:eastAsia="zh-CN"/>
        </w:rPr>
        <w:drawing>
          <wp:inline distT="0" distB="0" distL="114300" distR="114300">
            <wp:extent cx="2640965" cy="1979930"/>
            <wp:effectExtent l="0" t="0" r="6985" b="1270"/>
            <wp:docPr id="1" name="图片 1" descr="f2aaef1f8d173dc737bf79de6361a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f2aaef1f8d173dc737bf79de6361a06"/>
                    <pic:cNvPicPr>
                      <a:picLocks noChangeAspect="1"/>
                    </pic:cNvPicPr>
                  </pic:nvPicPr>
                  <pic:blipFill>
                    <a:blip r:embed="rId6"/>
                    <a:stretch>
                      <a:fillRect/>
                    </a:stretch>
                  </pic:blipFill>
                  <pic:spPr>
                    <a:xfrm>
                      <a:off x="0" y="0"/>
                      <a:ext cx="2640965" cy="1979930"/>
                    </a:xfrm>
                    <a:prstGeom prst="rect">
                      <a:avLst/>
                    </a:prstGeom>
                  </pic:spPr>
                </pic:pic>
              </a:graphicData>
            </a:graphic>
          </wp:inline>
        </w:drawing>
      </w:r>
      <w:r>
        <w:rPr>
          <w:rFonts w:hint="eastAsia" w:ascii="方正仿宋_GB2312" w:hAnsi="方正仿宋_GB2312" w:eastAsia="方正仿宋_GB2312" w:cs="方正仿宋_GB2312"/>
          <w:b w:val="0"/>
          <w:bCs w:val="0"/>
          <w:sz w:val="32"/>
          <w:szCs w:val="32"/>
          <w:lang w:val="en-US" w:eastAsia="zh-CN"/>
        </w:rPr>
        <w:drawing>
          <wp:inline distT="0" distB="0" distL="114300" distR="114300">
            <wp:extent cx="2640965" cy="1979930"/>
            <wp:effectExtent l="0" t="0" r="6985" b="1270"/>
            <wp:docPr id="2" name="图片 2" descr="fc0ca73d2b7cdc9697e085e073db28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fc0ca73d2b7cdc9697e085e073db28c"/>
                    <pic:cNvPicPr>
                      <a:picLocks noChangeAspect="1"/>
                    </pic:cNvPicPr>
                  </pic:nvPicPr>
                  <pic:blipFill>
                    <a:blip r:embed="rId7"/>
                    <a:stretch>
                      <a:fillRect/>
                    </a:stretch>
                  </pic:blipFill>
                  <pic:spPr>
                    <a:xfrm>
                      <a:off x="0" y="0"/>
                      <a:ext cx="2640965" cy="1979930"/>
                    </a:xfrm>
                    <a:prstGeom prst="rect">
                      <a:avLst/>
                    </a:prstGeom>
                  </pic:spPr>
                </pic:pic>
              </a:graphicData>
            </a:graphic>
          </wp:inline>
        </w:drawing>
      </w:r>
    </w:p>
    <w:p w14:paraId="72126BEC">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方正仿宋_GB2312" w:hAnsi="方正仿宋_GB2312" w:eastAsia="方正仿宋_GB2312" w:cs="方正仿宋_GB2312"/>
          <w:b w:val="0"/>
          <w:bCs w:val="0"/>
          <w:sz w:val="32"/>
          <w:szCs w:val="32"/>
          <w:lang w:val="en-US" w:eastAsia="zh-CN"/>
        </w:rPr>
      </w:pPr>
      <w:r>
        <w:rPr>
          <w:rFonts w:hint="eastAsia" w:ascii="方正仿宋_GB2312" w:hAnsi="方正仿宋_GB2312" w:eastAsia="方正仿宋_GB2312" w:cs="方正仿宋_GB2312"/>
          <w:b w:val="0"/>
          <w:bCs w:val="0"/>
          <w:sz w:val="32"/>
          <w:szCs w:val="32"/>
          <w:lang w:val="en-US" w:eastAsia="zh-CN"/>
        </w:rPr>
        <w:t>下一步，市就业服务中心将继续深化政策落地成效，加大民族手工艺人才培养力度，以技能培训为重要抓手，推动民族优秀传统文化保护传承与民生改善协同发展，助力更多群众通过政策赋能实现灵活就业、稳定增收，为乡村振兴注入新的活力。</w:t>
      </w:r>
    </w:p>
    <w:p w14:paraId="04CA2BF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b w:val="0"/>
          <w:bCs w:val="0"/>
          <w:snapToGrid w:val="0"/>
          <w:sz w:val="32"/>
          <w:szCs w:val="32"/>
          <w:lang w:val="en-US" w:eastAsia="zh-CN"/>
        </w:rPr>
      </w:pPr>
    </w:p>
    <w:p w14:paraId="7B369BF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b w:val="0"/>
          <w:bCs w:val="0"/>
          <w:snapToGrid w:val="0"/>
          <w:sz w:val="32"/>
          <w:szCs w:val="32"/>
          <w:lang w:val="en-US" w:eastAsia="zh-CN"/>
        </w:rPr>
      </w:pPr>
    </w:p>
    <w:p w14:paraId="5E91EA4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b w:val="0"/>
          <w:bCs w:val="0"/>
          <w:snapToGrid w:val="0"/>
          <w:sz w:val="32"/>
          <w:szCs w:val="32"/>
          <w:lang w:val="en-US" w:eastAsia="zh-CN"/>
        </w:rPr>
      </w:pPr>
    </w:p>
    <w:p w14:paraId="63D410B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b w:val="0"/>
          <w:bCs w:val="0"/>
          <w:snapToGrid w:val="0"/>
          <w:sz w:val="32"/>
          <w:szCs w:val="32"/>
          <w:lang w:val="en-US" w:eastAsia="zh-CN"/>
        </w:rPr>
      </w:pPr>
    </w:p>
    <w:p w14:paraId="286136C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b w:val="0"/>
          <w:bCs w:val="0"/>
          <w:snapToGrid w:val="0"/>
          <w:sz w:val="32"/>
          <w:szCs w:val="32"/>
          <w:lang w:val="en-US" w:eastAsia="zh-CN"/>
        </w:rPr>
      </w:pPr>
    </w:p>
    <w:p w14:paraId="6F406DD4">
      <w:pPr>
        <w:keepNext w:val="0"/>
        <w:keepLines w:val="0"/>
        <w:pageBreakBefore w:val="0"/>
        <w:widowControl w:val="0"/>
        <w:kinsoku/>
        <w:wordWrap/>
        <w:overflowPunct/>
        <w:topLinePunct w:val="0"/>
        <w:autoSpaceDE/>
        <w:autoSpaceDN/>
        <w:bidi w:val="0"/>
        <w:adjustRightInd/>
        <w:snapToGrid w:val="0"/>
        <w:spacing w:line="560" w:lineRule="exact"/>
        <w:jc w:val="right"/>
        <w:textAlignment w:val="auto"/>
        <w:rPr>
          <w:rFonts w:hint="eastAsia" w:ascii="仿宋" w:hAnsi="仿宋" w:eastAsia="仿宋" w:cs="仿宋"/>
          <w:b/>
          <w:snapToGrid w:val="0"/>
          <w:sz w:val="32"/>
          <w:szCs w:val="32"/>
          <w:highlight w:val="none"/>
          <w:lang w:val="en-US" w:eastAsia="zh-CN"/>
        </w:rPr>
      </w:pPr>
      <w:r>
        <w:rPr>
          <w:rFonts w:hint="eastAsia" w:ascii="仿宋" w:hAnsi="仿宋" w:eastAsia="仿宋" w:cs="仿宋"/>
          <w:b/>
          <w:snapToGrid w:val="0"/>
          <w:sz w:val="32"/>
          <w:szCs w:val="32"/>
          <w:highlight w:val="none"/>
        </w:rPr>
        <w:t>撰稿人：</w:t>
      </w:r>
      <w:r>
        <w:rPr>
          <w:rFonts w:hint="eastAsia" w:ascii="仿宋" w:hAnsi="仿宋" w:eastAsia="仿宋" w:cs="仿宋"/>
          <w:b/>
          <w:snapToGrid w:val="0"/>
          <w:sz w:val="32"/>
          <w:szCs w:val="32"/>
          <w:highlight w:val="none"/>
          <w:lang w:eastAsia="zh-CN"/>
        </w:rPr>
        <w:t>徐子轩</w:t>
      </w:r>
    </w:p>
    <w:p w14:paraId="4102B225">
      <w:pPr>
        <w:keepNext w:val="0"/>
        <w:keepLines w:val="0"/>
        <w:pageBreakBefore w:val="0"/>
        <w:widowControl w:val="0"/>
        <w:kinsoku/>
        <w:wordWrap/>
        <w:overflowPunct/>
        <w:topLinePunct w:val="0"/>
        <w:autoSpaceDE/>
        <w:autoSpaceDN/>
        <w:bidi w:val="0"/>
        <w:adjustRightInd/>
        <w:snapToGrid w:val="0"/>
        <w:spacing w:line="560" w:lineRule="exact"/>
        <w:jc w:val="left"/>
        <w:textAlignment w:val="auto"/>
        <w:rPr>
          <w:rFonts w:hint="default" w:ascii="仿宋_GB2312" w:eastAsia="仿宋_GB2312"/>
          <w:b/>
          <w:sz w:val="32"/>
          <w:szCs w:val="32"/>
          <w:highlight w:val="none"/>
          <w:u w:val="double"/>
          <w:lang w:val="en-US" w:eastAsia="zh-CN"/>
        </w:rPr>
      </w:pPr>
      <w:r>
        <w:rPr>
          <w:rFonts w:hint="eastAsia" w:ascii="仿宋" w:hAnsi="仿宋" w:eastAsia="仿宋" w:cs="仿宋"/>
          <w:b/>
          <w:snapToGrid w:val="0"/>
          <w:sz w:val="32"/>
          <w:szCs w:val="32"/>
          <w:highlight w:val="none"/>
          <w:u w:val="double"/>
          <w:lang w:val="en-US" w:eastAsia="zh-CN"/>
        </w:rPr>
        <w:t xml:space="preserve">                          　　　　　　　 </w:t>
      </w:r>
      <w:r>
        <w:rPr>
          <w:rFonts w:hint="eastAsia" w:ascii="仿宋" w:hAnsi="仿宋" w:eastAsia="仿宋" w:cs="仿宋"/>
          <w:b/>
          <w:snapToGrid w:val="0"/>
          <w:sz w:val="32"/>
          <w:szCs w:val="32"/>
          <w:highlight w:val="none"/>
          <w:u w:val="double"/>
        </w:rPr>
        <w:t>审核人：</w:t>
      </w:r>
      <w:r>
        <w:rPr>
          <w:rFonts w:hint="eastAsia" w:ascii="仿宋" w:hAnsi="仿宋" w:eastAsia="仿宋" w:cs="仿宋"/>
          <w:b/>
          <w:snapToGrid w:val="0"/>
          <w:sz w:val="32"/>
          <w:szCs w:val="32"/>
          <w:highlight w:val="none"/>
          <w:u w:val="double"/>
          <w:lang w:val="en-US" w:eastAsia="zh-CN"/>
        </w:rPr>
        <w:t xml:space="preserve">李  晶   </w:t>
      </w:r>
      <w:r>
        <w:rPr>
          <w:rFonts w:hint="eastAsia" w:ascii="仿宋_GB2312" w:eastAsia="仿宋_GB2312"/>
          <w:b/>
          <w:snapToGrid w:val="0"/>
          <w:sz w:val="32"/>
          <w:szCs w:val="32"/>
          <w:highlight w:val="none"/>
          <w:u w:val="double"/>
          <w:lang w:val="en-US" w:eastAsia="zh-CN"/>
        </w:rPr>
        <w:t xml:space="preserve"> </w:t>
      </w:r>
      <w:r>
        <w:rPr>
          <w:rFonts w:hint="eastAsia" w:ascii="仿宋_GB2312" w:eastAsia="仿宋_GB2312"/>
          <w:b/>
          <w:sz w:val="32"/>
          <w:szCs w:val="32"/>
          <w:highlight w:val="none"/>
          <w:u w:val="double"/>
          <w:lang w:val="en-US" w:eastAsia="zh-CN"/>
        </w:rPr>
        <w:t xml:space="preserve">    </w:t>
      </w:r>
    </w:p>
    <w:p w14:paraId="3330F4CF">
      <w:pPr>
        <w:keepNext w:val="0"/>
        <w:keepLines w:val="0"/>
        <w:pageBreakBefore w:val="0"/>
        <w:widowControl w:val="0"/>
        <w:kinsoku/>
        <w:wordWrap/>
        <w:overflowPunct/>
        <w:topLinePunct w:val="0"/>
        <w:autoSpaceDE/>
        <w:autoSpaceDN/>
        <w:bidi w:val="0"/>
        <w:adjustRightInd/>
        <w:snapToGrid w:val="0"/>
        <w:spacing w:line="560" w:lineRule="exact"/>
        <w:textAlignment w:val="auto"/>
      </w:pPr>
      <w:r>
        <w:rPr>
          <w:rFonts w:hint="eastAsia" w:ascii="仿宋" w:hAnsi="仿宋" w:eastAsia="仿宋" w:cs="仿宋"/>
          <w:b/>
          <w:snapToGrid w:val="0"/>
          <w:sz w:val="32"/>
          <w:szCs w:val="32"/>
          <w:highlight w:val="none"/>
        </w:rPr>
        <w:t>联系电话：0470-68</w:t>
      </w:r>
      <w:r>
        <w:rPr>
          <w:rFonts w:hint="eastAsia" w:ascii="仿宋" w:hAnsi="仿宋" w:eastAsia="仿宋" w:cs="仿宋"/>
          <w:b/>
          <w:snapToGrid w:val="0"/>
          <w:sz w:val="32"/>
          <w:szCs w:val="32"/>
          <w:highlight w:val="none"/>
          <w:lang w:val="en-US" w:eastAsia="zh-CN"/>
        </w:rPr>
        <w:t>33006</w:t>
      </w:r>
    </w:p>
    <w:p w14:paraId="752E889B"/>
    <w:p w14:paraId="397546C5"/>
    <w:p w14:paraId="394B3575"/>
    <w:p w14:paraId="3135F1BF"/>
    <w:p w14:paraId="17B7C3EC"/>
    <w:sectPr>
      <w:footerReference r:id="rId3" w:type="default"/>
      <w:footerReference r:id="rId4" w:type="even"/>
      <w:pgSz w:w="11906" w:h="16838"/>
      <w:pgMar w:top="2098" w:right="1474" w:bottom="1984" w:left="1587" w:header="851" w:footer="1417" w:gutter="0"/>
      <w:pgNumType w:fmt="numberInDash"/>
      <w:cols w:space="0" w:num="1"/>
      <w:rtlGutter w:val="0"/>
      <w:docGrid w:linePitch="57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1" w:fontKey="{871D8172-B1F4-4C2E-918F-0B898D8DF312}"/>
  </w:font>
  <w:font w:name="汉仪方叠体简">
    <w:altName w:val="宋体"/>
    <w:panose1 w:val="02010600000101010101"/>
    <w:charset w:val="86"/>
    <w:family w:val="auto"/>
    <w:pitch w:val="default"/>
    <w:sig w:usb0="00000000" w:usb1="00000000" w:usb2="00000002" w:usb3="00000000" w:csb0="00040000" w:csb1="00000000"/>
    <w:embedRegular r:id="rId2" w:fontKey="{FF402D75-4EA4-4AE4-8C53-2A4ADE5ED6E3}"/>
  </w:font>
  <w:font w:name="仿宋_GB2312">
    <w:panose1 w:val="02010609030101010101"/>
    <w:charset w:val="86"/>
    <w:family w:val="auto"/>
    <w:pitch w:val="default"/>
    <w:sig w:usb0="00000001" w:usb1="080E0000" w:usb2="00000000" w:usb3="00000000" w:csb0="00040000" w:csb1="00000000"/>
    <w:embedRegular r:id="rId3" w:fontKey="{BBFA8094-6F63-4DEC-B253-F9C8B713F81D}"/>
  </w:font>
  <w:font w:name="方正小标宋_GBK">
    <w:panose1 w:val="02000000000000000000"/>
    <w:charset w:val="86"/>
    <w:family w:val="auto"/>
    <w:pitch w:val="default"/>
    <w:sig w:usb0="A00002BF" w:usb1="38CF7CFA" w:usb2="00082016" w:usb3="00000000" w:csb0="00040001" w:csb1="00000000"/>
    <w:embedRegular r:id="rId4" w:fontKey="{7DF94700-F0EF-4B67-B628-D20D264CB625}"/>
  </w:font>
  <w:font w:name="方正仿宋_GB2312">
    <w:panose1 w:val="02000000000000000000"/>
    <w:charset w:val="86"/>
    <w:family w:val="auto"/>
    <w:pitch w:val="default"/>
    <w:sig w:usb0="A00002BF" w:usb1="184F6CFA" w:usb2="00000012" w:usb3="00000000" w:csb0="00040001" w:csb1="00000000"/>
    <w:embedRegular r:id="rId5" w:fontKey="{34B3F3CA-07C0-47CC-A48C-4E4FF34718A6}"/>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embedRegular r:id="rId6" w:fontKey="{5F17CE92-CF03-4A78-AF82-54812DF5EA86}"/>
  </w:font>
  <w:font w:name="楷体">
    <w:panose1 w:val="02010609060101010101"/>
    <w:charset w:val="86"/>
    <w:family w:val="auto"/>
    <w:pitch w:val="default"/>
    <w:sig w:usb0="800002BF" w:usb1="38CF7CFA" w:usb2="00000016" w:usb3="00000000" w:csb0="00040001" w:csb1="00000000"/>
    <w:embedRegular r:id="rId7" w:fontKey="{1A8DEDEB-EDBF-4C6D-9695-091F941FF1C0}"/>
  </w:font>
  <w:font w:name="微软雅黑">
    <w:panose1 w:val="020B0503020204020204"/>
    <w:charset w:val="86"/>
    <w:family w:val="auto"/>
    <w:pitch w:val="default"/>
    <w:sig w:usb0="80000287" w:usb1="2ACF3C50" w:usb2="00000016" w:usb3="00000000" w:csb0="0004001F" w:csb1="00000000"/>
    <w:embedRegular r:id="rId8" w:fontKey="{7D6A7484-A7D4-497B-AD4A-BE27813E6A4C}"/>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125123">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749FE5">
                          <w:pPr>
                            <w:pStyle w:val="2"/>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8749FE5">
                    <w:pPr>
                      <w:pStyle w:val="2"/>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25FEE">
    <w:pPr>
      <w:pStyle w:val="2"/>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7B2C9F">
                          <w:pPr>
                            <w:pStyle w:val="2"/>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2</w:t>
                          </w:r>
                          <w:r>
                            <w:rPr>
                              <w:rFonts w:hint="eastAsia" w:asciiTheme="minorEastAsia" w:hAnsiTheme="minorEastAsia" w:eastAsia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447B2C9F">
                    <w:pPr>
                      <w:pStyle w:val="2"/>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2</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9662995"/>
    <w:rsid w:val="3F172156"/>
    <w:rsid w:val="6EA97E5C"/>
    <w:rsid w:val="71723D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632</Words>
  <Characters>651</Characters>
  <Lines>0</Lines>
  <Paragraphs>0</Paragraphs>
  <TotalTime>8</TotalTime>
  <ScaleCrop>false</ScaleCrop>
  <LinksUpToDate>false</LinksUpToDate>
  <CharactersWithSpaces>719</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2025-11-06T00:50:00Z</dcterms:created>
  <dc:creator>29023</dc:creator>
  <cp:lastModifiedBy>杜晓宇</cp:lastModifiedBy>
  <dcterms:modified xsi:type="dcterms:W3CDTF">2025-11-17T02:51:55Z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eyJoZGlkIjoiNjE1ZTVlZWM1MzhjMzM5YWZhZjk4ZWI5NTM3Nzc3OGYiLCJ1c2VySWQiOiIyMTE3NTA3OTIifQ==</vt:lpwstr>
  </property>
  <property fmtid="{D5CDD505-2E9C-101B-9397-08002B2CF9AE}" pid="4" name="ICV">
    <vt:lpwstr>CF42EFC52A67414C97CFD925CB9DE717_13</vt:lpwstr>
  </property>
</Properties>
</file>