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jc w:val="center"/>
        <w:rPr>
          <w:rFonts w:ascii="微软雅黑" w:hAnsi="微软雅黑" w:eastAsia="微软雅黑" w:cs="微软雅黑"/>
          <w:i w:val="0"/>
          <w:iCs w:val="0"/>
          <w:caps w:val="0"/>
          <w:color w:val="3D3D3D"/>
          <w:spacing w:val="0"/>
          <w:sz w:val="24"/>
          <w:szCs w:val="24"/>
        </w:rPr>
      </w:pPr>
      <w:r>
        <w:rPr>
          <w:rFonts w:hint="eastAsia" w:ascii="微软雅黑" w:hAnsi="微软雅黑" w:eastAsia="微软雅黑" w:cs="微软雅黑"/>
          <w:i w:val="0"/>
          <w:iCs w:val="0"/>
          <w:caps w:val="0"/>
          <w:color w:val="3D3D3D"/>
          <w:spacing w:val="0"/>
          <w:kern w:val="0"/>
          <w:sz w:val="32"/>
          <w:szCs w:val="32"/>
          <w:shd w:val="clear" w:fill="FFFFFF"/>
          <w:lang w:val="en-US" w:eastAsia="zh-CN" w:bidi="ar"/>
        </w:rPr>
        <w:t>额尔古纳市文化旅游体育局行政执法事项清单</w:t>
      </w:r>
    </w:p>
    <w:tbl>
      <w:tblPr>
        <w:tblStyle w:val="3"/>
        <w:tblW w:w="14174"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7"/>
        <w:gridCol w:w="2049"/>
        <w:gridCol w:w="1295"/>
        <w:gridCol w:w="6778"/>
        <w:gridCol w:w="1295"/>
        <w:gridCol w:w="1446"/>
        <w:gridCol w:w="754"/>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557"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b/>
                <w:bCs/>
              </w:rPr>
              <w:t>序号</w:t>
            </w:r>
          </w:p>
        </w:tc>
        <w:tc>
          <w:tcPr>
            <w:tcW w:w="2049"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b/>
                <w:bCs/>
              </w:rPr>
              <w:t>事项名称</w:t>
            </w:r>
          </w:p>
        </w:tc>
        <w:tc>
          <w:tcPr>
            <w:tcW w:w="129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b/>
                <w:bCs/>
              </w:rPr>
              <w:t>事项类型</w:t>
            </w:r>
          </w:p>
        </w:tc>
        <w:tc>
          <w:tcPr>
            <w:tcW w:w="6778"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b/>
                <w:bCs/>
              </w:rPr>
              <w:t>法律法规依据</w:t>
            </w:r>
          </w:p>
        </w:tc>
        <w:tc>
          <w:tcPr>
            <w:tcW w:w="129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b/>
                <w:bCs/>
              </w:rPr>
              <w:t>主管部门</w:t>
            </w:r>
          </w:p>
        </w:tc>
        <w:tc>
          <w:tcPr>
            <w:tcW w:w="1446"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b/>
                <w:bCs/>
              </w:rPr>
              <w:t>实施层级</w:t>
            </w:r>
          </w:p>
        </w:tc>
        <w:tc>
          <w:tcPr>
            <w:tcW w:w="754"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b/>
                <w:bCs/>
              </w:rPr>
              <w:t>备注</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557"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rPr>
              <w:t>1</w:t>
            </w:r>
          </w:p>
        </w:tc>
        <w:tc>
          <w:tcPr>
            <w:tcW w:w="2049"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举办健身气功活动及设立站点审批</w:t>
            </w:r>
          </w:p>
        </w:tc>
        <w:tc>
          <w:tcPr>
            <w:tcW w:w="129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rPr>
              <w:t>行政许可</w:t>
            </w:r>
          </w:p>
        </w:tc>
        <w:tc>
          <w:tcPr>
            <w:tcW w:w="6778"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【部门规章】《健身气功管理办法》(2024年8月23日国家体育总局令第35号发布)</w:t>
            </w:r>
            <w:r>
              <w:rPr>
                <w:rFonts w:hint="eastAsia" w:ascii="微软雅黑" w:hAnsi="微软雅黑" w:eastAsia="微软雅黑" w:cs="微软雅黑"/>
                <w:sz w:val="18"/>
                <w:szCs w:val="18"/>
              </w:rPr>
              <w:br w:type="textWrapping"/>
            </w:r>
            <w:r>
              <w:rPr>
                <w:rFonts w:hint="eastAsia" w:ascii="微软雅黑" w:hAnsi="微软雅黑" w:eastAsia="微软雅黑" w:cs="微软雅黑"/>
                <w:sz w:val="18"/>
                <w:szCs w:val="18"/>
              </w:rPr>
              <w:t>第二十条省（区、市）内举办的健身气功活动，应当经属地人民政府体育行政部门批准；跨地区的健身气功活动，应当经所跨地区共同的上一级人民政府体育行政部门批准。</w:t>
            </w:r>
            <w:r>
              <w:rPr>
                <w:rFonts w:hint="eastAsia" w:ascii="微软雅黑" w:hAnsi="微软雅黑" w:eastAsia="微软雅黑" w:cs="微软雅黑"/>
                <w:sz w:val="18"/>
                <w:szCs w:val="18"/>
              </w:rPr>
              <w:br w:type="textWrapping"/>
            </w:r>
            <w:r>
              <w:rPr>
                <w:rFonts w:hint="eastAsia" w:ascii="微软雅黑" w:hAnsi="微软雅黑" w:eastAsia="微软雅黑" w:cs="微软雅黑"/>
                <w:sz w:val="18"/>
                <w:szCs w:val="18"/>
              </w:rPr>
              <w:t>第二十五条设立健身气功站点，由县级人民政府体育行政部门审批。</w:t>
            </w:r>
          </w:p>
        </w:tc>
        <w:tc>
          <w:tcPr>
            <w:tcW w:w="129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lang w:val="en-US" w:eastAsia="zh-CN"/>
              </w:rPr>
              <w:t>额尔古纳市文化旅游体育</w:t>
            </w:r>
            <w:r>
              <w:rPr>
                <w:rFonts w:hint="eastAsia" w:ascii="微软雅黑" w:hAnsi="微软雅黑" w:eastAsia="微软雅黑" w:cs="微软雅黑"/>
                <w:sz w:val="18"/>
                <w:szCs w:val="18"/>
              </w:rPr>
              <w:t>局</w:t>
            </w:r>
          </w:p>
        </w:tc>
        <w:tc>
          <w:tcPr>
            <w:tcW w:w="1446"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自治区、盟市级、旗县级体育行政部门</w:t>
            </w:r>
          </w:p>
        </w:tc>
        <w:tc>
          <w:tcPr>
            <w:tcW w:w="754"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557"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rPr>
              <w:t>2</w:t>
            </w:r>
          </w:p>
        </w:tc>
        <w:tc>
          <w:tcPr>
            <w:tcW w:w="2049"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举办高危险性体育赛事活动许可</w:t>
            </w:r>
          </w:p>
        </w:tc>
        <w:tc>
          <w:tcPr>
            <w:tcW w:w="129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rPr>
              <w:t>行政许可</w:t>
            </w:r>
          </w:p>
        </w:tc>
        <w:tc>
          <w:tcPr>
            <w:tcW w:w="6778"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【法律】《中华人民共和国体育法》（2022年修订）</w:t>
            </w:r>
            <w:r>
              <w:rPr>
                <w:rFonts w:hint="eastAsia" w:ascii="微软雅黑" w:hAnsi="微软雅黑" w:eastAsia="微软雅黑" w:cs="微软雅黑"/>
                <w:sz w:val="18"/>
                <w:szCs w:val="18"/>
              </w:rPr>
              <w:br w:type="textWrapping"/>
            </w:r>
            <w:r>
              <w:rPr>
                <w:rFonts w:hint="eastAsia" w:ascii="微软雅黑" w:hAnsi="微软雅黑" w:eastAsia="微软雅黑" w:cs="微软雅黑"/>
                <w:sz w:val="18"/>
                <w:szCs w:val="18"/>
              </w:rPr>
              <w:t>第一百零六条举办高危险性体育赛事活动，应当符合下列条件，并向县级以上地方人民政府体育行政部门提出申请：（一）配备具有相应资格或者资质的专业技术人员；（二）配置符合相关标准和要求的场地、器材和设施；（三）制定通信、安全、交通、卫生健康、食品、应急救援等相关保障措施。县级以上地方人民政府体育行政部门应当自收到申请之日起三十日内进行实地核查，并作出批准或者不予批准的决定。国务院体育行政部门会同有关部门制定、调整高危险性体育赛事活动目录并予以公布。</w:t>
            </w:r>
          </w:p>
        </w:tc>
        <w:tc>
          <w:tcPr>
            <w:tcW w:w="129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lang w:val="en-US" w:eastAsia="zh-CN"/>
              </w:rPr>
              <w:t>额尔古纳市文化旅游体育</w:t>
            </w:r>
            <w:r>
              <w:rPr>
                <w:rFonts w:hint="eastAsia" w:ascii="微软雅黑" w:hAnsi="微软雅黑" w:eastAsia="微软雅黑" w:cs="微软雅黑"/>
                <w:sz w:val="18"/>
                <w:szCs w:val="18"/>
              </w:rPr>
              <w:t>局</w:t>
            </w:r>
          </w:p>
        </w:tc>
        <w:tc>
          <w:tcPr>
            <w:tcW w:w="1446"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自治区、盟市级旗县级体育行政部门</w:t>
            </w:r>
          </w:p>
        </w:tc>
        <w:tc>
          <w:tcPr>
            <w:tcW w:w="754"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557"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rPr>
              <w:t>3</w:t>
            </w:r>
          </w:p>
        </w:tc>
        <w:tc>
          <w:tcPr>
            <w:tcW w:w="2049"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临时占用公共体育设施审批</w:t>
            </w:r>
          </w:p>
        </w:tc>
        <w:tc>
          <w:tcPr>
            <w:tcW w:w="129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rPr>
              <w:t>行政许可</w:t>
            </w:r>
          </w:p>
        </w:tc>
        <w:tc>
          <w:tcPr>
            <w:tcW w:w="6778"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【法律】《中华人民共和国体育法》（2022年修订）</w:t>
            </w:r>
            <w:r>
              <w:rPr>
                <w:rFonts w:hint="eastAsia" w:ascii="微软雅黑" w:hAnsi="微软雅黑" w:eastAsia="微软雅黑" w:cs="微软雅黑"/>
                <w:sz w:val="18"/>
                <w:szCs w:val="18"/>
              </w:rPr>
              <w:br w:type="textWrapping"/>
            </w:r>
            <w:r>
              <w:rPr>
                <w:rFonts w:hint="eastAsia" w:ascii="微软雅黑" w:hAnsi="微软雅黑" w:eastAsia="微软雅黑" w:cs="微软雅黑"/>
                <w:sz w:val="18"/>
                <w:szCs w:val="18"/>
              </w:rPr>
              <w:t>第八十七条任何单位和个人不得侵占公共体育场地设施及其建设用地，不得擅自拆除公共体育场地设施，不得擅自改变公共体育场地设施的功能、用途或者妨碍其正常使用。因特殊需要临时占用公共体育场地设施超过十日的，应当经本级人民政府体育行政部门同意；超过三个月的，应当报上一级人民政府体育行政部门批准。经批准拆除公共体育场地设施或者改变其功能、用途的，应当依照国家有关法律、行政法规的规定先行择地重建。</w:t>
            </w:r>
            <w:r>
              <w:rPr>
                <w:rFonts w:hint="eastAsia" w:ascii="微软雅黑" w:hAnsi="微软雅黑" w:eastAsia="微软雅黑" w:cs="微软雅黑"/>
                <w:sz w:val="18"/>
                <w:szCs w:val="18"/>
              </w:rPr>
              <w:br w:type="textWrapping"/>
            </w:r>
            <w:r>
              <w:rPr>
                <w:rFonts w:hint="eastAsia" w:ascii="微软雅黑" w:hAnsi="微软雅黑" w:eastAsia="微软雅黑" w:cs="微软雅黑"/>
                <w:sz w:val="18"/>
                <w:szCs w:val="18"/>
              </w:rPr>
              <w:t>【地方性法规】《内蒙古自治区体育设施管理条例》（1998年7月31日内蒙古自治区第九届人民代表大会常务委员会第四次会议通过。根据2010年3月25日内蒙古自治区第十一届人民代表大会常务委员会第十三次会议《关于修改部分地方性法规的决定（一）》修正）</w:t>
            </w:r>
            <w:r>
              <w:rPr>
                <w:rFonts w:hint="eastAsia" w:ascii="微软雅黑" w:hAnsi="微软雅黑" w:eastAsia="微软雅黑" w:cs="微软雅黑"/>
                <w:sz w:val="18"/>
                <w:szCs w:val="18"/>
              </w:rPr>
              <w:br w:type="textWrapping"/>
            </w:r>
            <w:r>
              <w:rPr>
                <w:rFonts w:hint="eastAsia" w:ascii="微软雅黑" w:hAnsi="微软雅黑" w:eastAsia="微软雅黑" w:cs="微软雅黑"/>
                <w:sz w:val="18"/>
                <w:szCs w:val="18"/>
              </w:rPr>
              <w:t>第十九条因特殊情况需要临时占用公共体育设施的，必须经当地体育行政部门和建设规划部门批准；占用期满后必须及时归还，并且保证体育设施完好。临时占用公共体育场所的附属设备开展非体育性经营活动的，应当经当地体育行政部门同意，并不得影响公共体育场所的开放和使用。临时占用期满后，应当恢复公共体育场所附属设备的原有功能。</w:t>
            </w:r>
          </w:p>
        </w:tc>
        <w:tc>
          <w:tcPr>
            <w:tcW w:w="129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lang w:val="en-US" w:eastAsia="zh-CN"/>
              </w:rPr>
              <w:t>额尔古纳市文化旅游体育</w:t>
            </w:r>
            <w:r>
              <w:rPr>
                <w:rFonts w:hint="eastAsia" w:ascii="微软雅黑" w:hAnsi="微软雅黑" w:eastAsia="微软雅黑" w:cs="微软雅黑"/>
                <w:sz w:val="18"/>
                <w:szCs w:val="18"/>
              </w:rPr>
              <w:t>局</w:t>
            </w:r>
          </w:p>
        </w:tc>
        <w:tc>
          <w:tcPr>
            <w:tcW w:w="1446"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自治区、盟市级、旗县级体育行政部门</w:t>
            </w:r>
          </w:p>
        </w:tc>
        <w:tc>
          <w:tcPr>
            <w:tcW w:w="754"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557"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rPr>
                <w:rFonts w:hint="default" w:eastAsiaTheme="minorEastAsia"/>
                <w:lang w:val="en-US" w:eastAsia="zh-CN"/>
              </w:rPr>
            </w:pPr>
            <w:r>
              <w:rPr>
                <w:rFonts w:hint="eastAsia" w:ascii="微软雅黑" w:hAnsi="微软雅黑" w:eastAsia="微软雅黑" w:cs="微软雅黑"/>
                <w:sz w:val="18"/>
                <w:szCs w:val="18"/>
                <w:lang w:val="en-US" w:eastAsia="zh-CN"/>
              </w:rPr>
              <w:t>4</w:t>
            </w:r>
            <w:bookmarkStart w:id="0" w:name="_GoBack"/>
            <w:bookmarkEnd w:id="0"/>
          </w:p>
        </w:tc>
        <w:tc>
          <w:tcPr>
            <w:tcW w:w="2049"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社会体育指导员资格认证（</w:t>
            </w:r>
            <w:r>
              <w:rPr>
                <w:rFonts w:hint="eastAsia" w:ascii="微软雅黑" w:hAnsi="微软雅黑" w:eastAsia="微软雅黑" w:cs="微软雅黑"/>
                <w:sz w:val="18"/>
                <w:szCs w:val="18"/>
                <w:lang w:val="en-US" w:eastAsia="zh-CN"/>
              </w:rPr>
              <w:t>三</w:t>
            </w:r>
            <w:r>
              <w:rPr>
                <w:rFonts w:hint="eastAsia" w:ascii="微软雅黑" w:hAnsi="微软雅黑" w:eastAsia="微软雅黑" w:cs="微软雅黑"/>
                <w:sz w:val="18"/>
                <w:szCs w:val="18"/>
              </w:rPr>
              <w:t>级）</w:t>
            </w:r>
          </w:p>
        </w:tc>
        <w:tc>
          <w:tcPr>
            <w:tcW w:w="129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rPr>
              <w:t>行政确认</w:t>
            </w:r>
          </w:p>
        </w:tc>
        <w:tc>
          <w:tcPr>
            <w:tcW w:w="6778"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rPr>
              <w:t>【部门规章】《社会体育指导员管理办法》（国家体育总局令第16号）</w:t>
            </w:r>
            <w:r>
              <w:rPr>
                <w:rFonts w:hint="eastAsia" w:ascii="微软雅黑" w:hAnsi="微软雅黑" w:eastAsia="微软雅黑" w:cs="微软雅黑"/>
                <w:sz w:val="18"/>
                <w:szCs w:val="18"/>
              </w:rPr>
              <w:br w:type="textWrapping"/>
            </w:r>
            <w:r>
              <w:rPr>
                <w:rFonts w:hint="eastAsia" w:ascii="微软雅黑" w:hAnsi="微软雅黑" w:eastAsia="微软雅黑" w:cs="微软雅黑"/>
                <w:sz w:val="18"/>
                <w:szCs w:val="18"/>
              </w:rPr>
              <w:t>第十四条：各级体育主管部门或经批准的协会按照社会体育指导员技术等级标准，批准授予相应等级社会体育指导员称号。</w:t>
            </w:r>
          </w:p>
        </w:tc>
        <w:tc>
          <w:tcPr>
            <w:tcW w:w="129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textAlignment w:val="center"/>
            </w:pPr>
            <w:r>
              <w:rPr>
                <w:rFonts w:hint="eastAsia" w:ascii="微软雅黑" w:hAnsi="微软雅黑" w:eastAsia="微软雅黑" w:cs="微软雅黑"/>
                <w:sz w:val="18"/>
                <w:szCs w:val="18"/>
                <w:lang w:val="en-US" w:eastAsia="zh-CN"/>
              </w:rPr>
              <w:t>额尔古纳市文化旅游体育</w:t>
            </w:r>
            <w:r>
              <w:rPr>
                <w:rFonts w:hint="eastAsia" w:ascii="微软雅黑" w:hAnsi="微软雅黑" w:eastAsia="微软雅黑" w:cs="微软雅黑"/>
                <w:sz w:val="18"/>
                <w:szCs w:val="18"/>
              </w:rPr>
              <w:t>局</w:t>
            </w:r>
          </w:p>
        </w:tc>
        <w:tc>
          <w:tcPr>
            <w:tcW w:w="1446"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r>
              <w:rPr>
                <w:rFonts w:hint="eastAsia" w:ascii="微软雅黑" w:hAnsi="微软雅黑" w:eastAsia="微软雅黑" w:cs="微软雅黑"/>
                <w:sz w:val="18"/>
                <w:szCs w:val="18"/>
                <w:lang w:val="en-US" w:eastAsia="zh-CN"/>
              </w:rPr>
              <w:t>旗县级体</w:t>
            </w:r>
            <w:r>
              <w:rPr>
                <w:rFonts w:hint="eastAsia" w:ascii="微软雅黑" w:hAnsi="微软雅黑" w:eastAsia="微软雅黑" w:cs="微软雅黑"/>
                <w:sz w:val="18"/>
                <w:szCs w:val="18"/>
              </w:rPr>
              <w:t>育行政部门</w:t>
            </w:r>
          </w:p>
        </w:tc>
        <w:tc>
          <w:tcPr>
            <w:tcW w:w="754"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textAlignment w:val="cente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4NTI3NjI5NGNiNjkwNjNiNDk4MmJkZmJhMmJjZWQifQ=="/>
  </w:docVars>
  <w:rsids>
    <w:rsidRoot w:val="25483C9F"/>
    <w:rsid w:val="01AB6A6D"/>
    <w:rsid w:val="06130937"/>
    <w:rsid w:val="118151C6"/>
    <w:rsid w:val="25483C9F"/>
    <w:rsid w:val="2FBC1655"/>
    <w:rsid w:val="44E42257"/>
    <w:rsid w:val="4B5A6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2025-12-01T02:45:00Z</dcterms:created>
  <dc:creator>Administrator</dc:creator>
  <cp:lastModifiedBy>Administrator</cp:lastModifiedBy>
  <dcterms:modified xsi:type="dcterms:W3CDTF">2025-12-02T01:48:54Z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81FAD3448AF248F6BE17D68D081B2C4A_11</vt:lpwstr>
  </property>
</Properties>
</file>