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D1A42">
      <w:pPr>
        <w:spacing w:before="156" w:beforeLines="50" w:after="156" w:afterLines="50" w:line="360" w:lineRule="auto"/>
        <w:jc w:val="left"/>
        <w:rPr>
          <w:rFonts w:hint="eastAsia" w:ascii="仿宋" w:hAnsi="仿宋" w:eastAsia="仿宋" w:cs="等线"/>
          <w:sz w:val="32"/>
          <w:szCs w:val="32"/>
        </w:rPr>
      </w:pPr>
    </w:p>
    <w:p w14:paraId="2E286805">
      <w:pPr>
        <w:spacing w:before="156" w:beforeLines="50" w:after="156" w:afterLines="50" w:line="360" w:lineRule="auto"/>
        <w:jc w:val="center"/>
        <w:rPr>
          <w:rFonts w:hint="eastAsia" w:ascii="黑体" w:hAnsi="黑体" w:eastAsia="黑体" w:cs="等线"/>
          <w:spacing w:val="40"/>
          <w:sz w:val="84"/>
          <w:szCs w:val="84"/>
        </w:rPr>
      </w:pPr>
      <w:r>
        <w:rPr>
          <w:rFonts w:hint="eastAsia" w:ascii="黑体" w:hAnsi="黑体" w:eastAsia="黑体" w:cs="等线"/>
          <w:spacing w:val="40"/>
          <w:sz w:val="84"/>
          <w:szCs w:val="84"/>
        </w:rPr>
        <w:t>额尔古纳市水网建设规划报告</w:t>
      </w:r>
    </w:p>
    <w:p w14:paraId="25012CB6">
      <w:pPr>
        <w:spacing w:line="360" w:lineRule="auto"/>
        <w:jc w:val="center"/>
        <w:rPr>
          <w:rFonts w:hint="eastAsia" w:ascii="黑体" w:hAnsi="黑体" w:eastAsia="黑体" w:cstheme="minorBidi"/>
          <w:b/>
          <w:kern w:val="2"/>
          <w:sz w:val="56"/>
          <w:szCs w:val="48"/>
        </w:rPr>
      </w:pPr>
    </w:p>
    <w:p w14:paraId="6F5D49C0">
      <w:pPr>
        <w:spacing w:before="156" w:beforeLines="50" w:after="156" w:afterLines="50" w:line="480" w:lineRule="auto"/>
        <w:jc w:val="center"/>
        <w:rPr>
          <w:rFonts w:eastAsia="等线"/>
          <w:b/>
          <w:sz w:val="48"/>
          <w:szCs w:val="72"/>
        </w:rPr>
      </w:pPr>
    </w:p>
    <w:p w14:paraId="002DF6A8">
      <w:pPr>
        <w:widowControl/>
        <w:jc w:val="left"/>
        <w:rPr>
          <w:rFonts w:hint="eastAsia" w:ascii="宋体" w:hAnsi="宋体"/>
          <w:sz w:val="32"/>
        </w:rPr>
      </w:pPr>
    </w:p>
    <w:p w14:paraId="2B728BA2">
      <w:pPr>
        <w:spacing w:line="360" w:lineRule="auto"/>
        <w:jc w:val="center"/>
        <w:rPr>
          <w:rFonts w:hint="eastAsia" w:ascii="宋体" w:hAnsi="宋体"/>
          <w:sz w:val="32"/>
        </w:rPr>
      </w:pPr>
    </w:p>
    <w:p w14:paraId="48E7C127">
      <w:pPr>
        <w:spacing w:line="360" w:lineRule="auto"/>
        <w:jc w:val="center"/>
        <w:rPr>
          <w:rFonts w:hint="eastAsia" w:ascii="宋体" w:hAnsi="宋体"/>
          <w:sz w:val="32"/>
        </w:rPr>
      </w:pPr>
    </w:p>
    <w:p w14:paraId="2E620B41">
      <w:pPr>
        <w:spacing w:line="360" w:lineRule="auto"/>
        <w:jc w:val="center"/>
        <w:rPr>
          <w:rFonts w:hint="eastAsia" w:ascii="宋体" w:hAnsi="宋体"/>
          <w:sz w:val="32"/>
        </w:rPr>
      </w:pPr>
    </w:p>
    <w:p w14:paraId="5A1906AE">
      <w:pPr>
        <w:spacing w:line="360" w:lineRule="auto"/>
        <w:jc w:val="center"/>
        <w:rPr>
          <w:rFonts w:hint="eastAsia" w:ascii="宋体" w:hAnsi="宋体"/>
          <w:sz w:val="32"/>
        </w:rPr>
      </w:pPr>
    </w:p>
    <w:p w14:paraId="0B6A5A87">
      <w:pPr>
        <w:pStyle w:val="82"/>
        <w:ind w:firstLine="648"/>
        <w:rPr>
          <w:color w:val="000000" w:themeColor="text1"/>
          <w:szCs w:val="32"/>
          <w14:textFill>
            <w14:solidFill>
              <w14:schemeClr w14:val="tx1"/>
            </w14:solidFill>
          </w14:textFill>
        </w:rPr>
      </w:pPr>
    </w:p>
    <w:p w14:paraId="03657EA6">
      <w:pPr>
        <w:pStyle w:val="82"/>
        <w:ind w:firstLine="648"/>
        <w:rPr>
          <w:color w:val="000000" w:themeColor="text1"/>
          <w:szCs w:val="32"/>
          <w14:textFill>
            <w14:solidFill>
              <w14:schemeClr w14:val="tx1"/>
            </w14:solidFill>
          </w14:textFill>
        </w:rPr>
      </w:pPr>
    </w:p>
    <w:p w14:paraId="2C0A65DD">
      <w:pPr>
        <w:pStyle w:val="82"/>
        <w:ind w:firstLine="648"/>
        <w:rPr>
          <w:color w:val="000000" w:themeColor="text1"/>
          <w:szCs w:val="32"/>
          <w14:textFill>
            <w14:solidFill>
              <w14:schemeClr w14:val="tx1"/>
            </w14:solidFill>
          </w14:textFill>
        </w:rPr>
      </w:pPr>
    </w:p>
    <w:p w14:paraId="18330B45">
      <w:pPr>
        <w:pStyle w:val="82"/>
        <w:ind w:firstLine="648"/>
        <w:rPr>
          <w:rFonts w:hint="eastAsia"/>
          <w:color w:val="000000" w:themeColor="text1"/>
          <w:szCs w:val="32"/>
          <w14:textFill>
            <w14:solidFill>
              <w14:schemeClr w14:val="tx1"/>
            </w14:solidFill>
          </w14:textFill>
        </w:rPr>
      </w:pPr>
    </w:p>
    <w:p w14:paraId="6733B25F">
      <w:pPr>
        <w:pStyle w:val="82"/>
        <w:ind w:firstLine="648"/>
        <w:rPr>
          <w:color w:val="000000" w:themeColor="text1"/>
          <w:szCs w:val="32"/>
          <w14:textFill>
            <w14:solidFill>
              <w14:schemeClr w14:val="tx1"/>
            </w14:solidFill>
          </w14:textFill>
        </w:rPr>
      </w:pPr>
    </w:p>
    <w:p w14:paraId="7AB455D2">
      <w:pPr>
        <w:pStyle w:val="82"/>
        <w:spacing w:line="360" w:lineRule="auto"/>
        <w:ind w:firstLine="0" w:firstLineChars="0"/>
        <w:jc w:val="center"/>
        <w:rPr>
          <w:color w:val="000000" w:themeColor="text1"/>
          <w:sz w:val="40"/>
          <w:szCs w:val="40"/>
          <w14:textFill>
            <w14:solidFill>
              <w14:schemeClr w14:val="tx1"/>
            </w14:solidFill>
          </w14:textFill>
        </w:rPr>
      </w:pPr>
      <w:bookmarkStart w:id="0" w:name="_Toc216964734"/>
      <w:r>
        <w:rPr>
          <w:rFonts w:hint="eastAsia"/>
          <w:color w:val="000000" w:themeColor="text1"/>
          <w:sz w:val="40"/>
          <w:szCs w:val="40"/>
          <w14:textFill>
            <w14:solidFill>
              <w14:schemeClr w14:val="tx1"/>
            </w14:solidFill>
          </w14:textFill>
        </w:rPr>
        <w:t>额尔古纳市水利局</w:t>
      </w:r>
      <w:bookmarkEnd w:id="0"/>
    </w:p>
    <w:p w14:paraId="56F30410">
      <w:pPr>
        <w:pStyle w:val="82"/>
        <w:spacing w:line="360" w:lineRule="auto"/>
        <w:ind w:firstLine="0" w:firstLineChars="0"/>
        <w:jc w:val="center"/>
        <w:rPr>
          <w:rFonts w:hint="eastAsia"/>
          <w:color w:val="000000" w:themeColor="text1"/>
          <w:sz w:val="40"/>
          <w:szCs w:val="40"/>
          <w14:textFill>
            <w14:solidFill>
              <w14:schemeClr w14:val="tx1"/>
            </w14:solidFill>
          </w14:textFill>
        </w:rPr>
      </w:pPr>
      <w:bookmarkStart w:id="1" w:name="_Toc216964735"/>
      <w:r>
        <w:rPr>
          <w:rFonts w:hint="eastAsia"/>
          <w:color w:val="000000" w:themeColor="text1"/>
          <w:sz w:val="40"/>
          <w:szCs w:val="40"/>
          <w14:textFill>
            <w14:solidFill>
              <w14:schemeClr w14:val="tx1"/>
            </w14:solidFill>
          </w14:textFill>
        </w:rPr>
        <w:t>2025年12月</w:t>
      </w:r>
      <w:bookmarkEnd w:id="1"/>
    </w:p>
    <w:p w14:paraId="2C322D62">
      <w:pPr>
        <w:pStyle w:val="82"/>
        <w:ind w:firstLine="648"/>
        <w:rPr>
          <w:rFonts w:hint="eastAsia" w:eastAsia="黑体"/>
          <w:szCs w:val="32"/>
        </w:rPr>
        <w:sectPr>
          <w:headerReference r:id="rId3" w:type="default"/>
          <w:pgSz w:w="11906" w:h="16838"/>
          <w:pgMar w:top="1418" w:right="1418" w:bottom="1418" w:left="1418" w:header="851" w:footer="992" w:gutter="0"/>
          <w:cols w:space="425" w:num="1"/>
          <w:docGrid w:type="lines" w:linePitch="312" w:charSpace="0"/>
        </w:sectPr>
      </w:pPr>
    </w:p>
    <w:p w14:paraId="6C8403F3">
      <w:pPr>
        <w:pStyle w:val="33"/>
        <w:ind w:firstLine="0" w:firstLineChars="0"/>
        <w:jc w:val="center"/>
        <w:rPr>
          <w:rFonts w:hint="eastAsia"/>
        </w:rPr>
      </w:pPr>
      <w:bookmarkStart w:id="2" w:name="_Toc178966943"/>
      <w:bookmarkStart w:id="3" w:name="_Toc216964736"/>
      <w:r>
        <w:t>前</w:t>
      </w:r>
      <w:r>
        <w:rPr>
          <w:rFonts w:hint="eastAsia"/>
        </w:rPr>
        <w:t xml:space="preserve"> </w:t>
      </w:r>
      <w:r>
        <w:t>言</w:t>
      </w:r>
      <w:bookmarkEnd w:id="2"/>
      <w:bookmarkEnd w:id="3"/>
    </w:p>
    <w:p w14:paraId="520152ED">
      <w:pPr>
        <w:pStyle w:val="82"/>
        <w:ind w:firstLine="648"/>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额尔古纳地处中、俄两国交界处，是内蒙古自治区纬度最高、中国最北的边境县级城市。额尔古纳作为自治区向北开放重要桥头堡建设中“北上”地区的重要组成和内联东三省的重要区域，区位优势和口岸优势突出。</w:t>
      </w:r>
    </w:p>
    <w:p w14:paraId="58C611CB">
      <w:pPr>
        <w:pStyle w:val="82"/>
        <w:ind w:firstLine="648"/>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党的十八大以来，习近平总书记站在中华民族永续发展的战略高度亲自擘画、亲自部署、亲自推动治水事业，明确提出“节水优先、空间均衡、系统治理、两手发力”的治水思路，作出实施国家江河战略、建设国家水网等一系列重大战略部署。</w:t>
      </w:r>
      <w:r>
        <w:rPr>
          <w:color w:val="000000" w:themeColor="text1"/>
          <w:szCs w:val="32"/>
          <w14:textFill>
            <w14:solidFill>
              <w14:schemeClr w14:val="tx1"/>
            </w14:solidFill>
          </w14:textFill>
        </w:rPr>
        <w:t>2023</w:t>
      </w:r>
      <w:r>
        <w:rPr>
          <w:rFonts w:hint="eastAsia"/>
          <w:color w:val="000000" w:themeColor="text1"/>
          <w:szCs w:val="32"/>
          <w14:textFill>
            <w14:solidFill>
              <w14:schemeClr w14:val="tx1"/>
            </w14:solidFill>
          </w14:textFill>
        </w:rPr>
        <w:t>年</w:t>
      </w:r>
      <w:r>
        <w:rPr>
          <w:color w:val="000000" w:themeColor="text1"/>
          <w:szCs w:val="32"/>
          <w14:textFill>
            <w14:solidFill>
              <w14:schemeClr w14:val="tx1"/>
            </w14:solidFill>
          </w14:textFill>
        </w:rPr>
        <w:t>5</w:t>
      </w:r>
      <w:r>
        <w:rPr>
          <w:rFonts w:hint="eastAsia"/>
          <w:color w:val="000000" w:themeColor="text1"/>
          <w:szCs w:val="32"/>
          <w14:textFill>
            <w14:solidFill>
              <w14:schemeClr w14:val="tx1"/>
            </w14:solidFill>
          </w14:textFill>
        </w:rPr>
        <w:t>月，中共中央、国务院印发《国家水网建设规划纲要》，提出加快构建国家水网，建设现代化高质量水利基础设施网络。为加快落实国家水网建设安排部署，积极衔接自治区水网、呼伦贝尔市水网等上位规划，按照水利部印发的《市县水网建设规划编制要点（试行）》和自治区、呼伦贝尔市的总体安排，额尔古纳市水利局组织编制了《额尔古纳市水网建设规划》（以下简称《规划》）。</w:t>
      </w:r>
    </w:p>
    <w:p w14:paraId="72DEBD00">
      <w:pPr>
        <w:pStyle w:val="82"/>
        <w:ind w:firstLine="648"/>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规划》立足额尔古纳市基本市情和水情，在资料收集整理、现场调研座谈、实地查勘等基础上，坚持“高水高用，边水边用”原则，分析了额尔古纳市水网建设基础和面临形势，提出了水网建设的总体思路和布局，统筹存量和增量，加强互联互通，提出了防洪排涝网、城乡供水网、灌溉排水网、河湖生态保护网、数字孪生水网建设任务和水网高质量发展重点举措，着力打造</w:t>
      </w:r>
      <w:r>
        <w:rPr>
          <w:rFonts w:hint="eastAsia"/>
          <w:b/>
          <w:bCs/>
          <w:color w:val="000000" w:themeColor="text1"/>
          <w:szCs w:val="32"/>
          <w14:textFill>
            <w14:solidFill>
              <w14:schemeClr w14:val="tx1"/>
            </w14:solidFill>
          </w14:textFill>
        </w:rPr>
        <w:t>“</w:t>
      </w:r>
      <w:r>
        <w:rPr>
          <w:rFonts w:hint="eastAsia"/>
        </w:rPr>
        <w:t>一</w:t>
      </w:r>
      <w:r>
        <w:rPr>
          <w:rFonts w:hint="eastAsia"/>
          <w:b/>
          <w:bCs/>
        </w:rPr>
        <w:t>轴五脉一通道，两塔一区多结点</w:t>
      </w:r>
      <w:r>
        <w:rPr>
          <w:rFonts w:hint="eastAsia"/>
          <w:color w:val="000000" w:themeColor="text1"/>
          <w:szCs w:val="32"/>
          <w14:textFill>
            <w14:solidFill>
              <w14:schemeClr w14:val="tx1"/>
            </w14:solidFill>
          </w14:textFill>
        </w:rPr>
        <w:t>”的额尔古纳市水网总体布局，为构建</w:t>
      </w:r>
      <w:r>
        <w:rPr>
          <w:rFonts w:hint="eastAsia"/>
          <w:b/>
          <w:bCs/>
          <w:color w:val="000000" w:themeColor="text1"/>
          <w:szCs w:val="32"/>
          <w14:textFill>
            <w14:solidFill>
              <w14:schemeClr w14:val="tx1"/>
            </w14:solidFill>
          </w14:textFill>
        </w:rPr>
        <w:t>“</w:t>
      </w:r>
      <w:r>
        <w:rPr>
          <w:rFonts w:hint="eastAsia"/>
          <w:b/>
          <w:bCs/>
        </w:rPr>
        <w:t>一山一廊两片区，一核三心多点”</w:t>
      </w:r>
      <w:r>
        <w:rPr>
          <w:rFonts w:hint="eastAsia"/>
        </w:rPr>
        <w:t>的国土空间格局提供强有力的水利支撑和保障</w:t>
      </w:r>
      <w:r>
        <w:rPr>
          <w:rFonts w:hint="eastAsia"/>
          <w:color w:val="000000" w:themeColor="text1"/>
          <w:szCs w:val="32"/>
          <w14:textFill>
            <w14:solidFill>
              <w14:schemeClr w14:val="tx1"/>
            </w14:solidFill>
          </w14:textFill>
        </w:rPr>
        <w:t>。</w:t>
      </w:r>
    </w:p>
    <w:p w14:paraId="5B57D5E5">
      <w:pPr>
        <w:pStyle w:val="82"/>
        <w:ind w:firstLine="648"/>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《规划》范围覆盖额尔古纳全市，包括1个苏木、3个乡、3个镇、2个街道办事处，国土面积2.89万</w:t>
      </w:r>
      <w:r>
        <w:rPr>
          <w:color w:val="000000" w:themeColor="text1"/>
          <w:szCs w:val="32"/>
          <w14:textFill>
            <w14:solidFill>
              <w14:schemeClr w14:val="tx1"/>
            </w14:solidFill>
          </w14:textFill>
        </w:rPr>
        <w:t>km</w:t>
      </w:r>
      <w:r>
        <w:rPr>
          <w:color w:val="000000" w:themeColor="text1"/>
          <w:szCs w:val="32"/>
          <w:vertAlign w:val="superscript"/>
          <w14:textFill>
            <w14:solidFill>
              <w14:schemeClr w14:val="tx1"/>
            </w14:solidFill>
          </w14:textFill>
        </w:rPr>
        <w:t>2</w:t>
      </w:r>
      <w:r>
        <w:rPr>
          <w:rFonts w:hint="eastAsia"/>
          <w:color w:val="000000" w:themeColor="text1"/>
          <w:szCs w:val="32"/>
          <w14:textFill>
            <w14:solidFill>
              <w14:schemeClr w14:val="tx1"/>
            </w14:solidFill>
          </w14:textFill>
        </w:rPr>
        <w:t>。《规划》现状水平年为</w:t>
      </w:r>
      <w:r>
        <w:rPr>
          <w:color w:val="000000" w:themeColor="text1"/>
          <w:szCs w:val="32"/>
          <w14:textFill>
            <w14:solidFill>
              <w14:schemeClr w14:val="tx1"/>
            </w14:solidFill>
          </w14:textFill>
        </w:rPr>
        <w:t>2022</w:t>
      </w:r>
      <w:r>
        <w:rPr>
          <w:rFonts w:hint="eastAsia"/>
          <w:color w:val="000000" w:themeColor="text1"/>
          <w:szCs w:val="32"/>
          <w14:textFill>
            <w14:solidFill>
              <w14:schemeClr w14:val="tx1"/>
            </w14:solidFill>
          </w14:textFill>
        </w:rPr>
        <w:t>年，规划水平年</w:t>
      </w:r>
      <w:r>
        <w:rPr>
          <w:color w:val="000000" w:themeColor="text1"/>
          <w:szCs w:val="32"/>
          <w14:textFill>
            <w14:solidFill>
              <w14:schemeClr w14:val="tx1"/>
            </w14:solidFill>
          </w14:textFill>
        </w:rPr>
        <w:t>2035</w:t>
      </w:r>
      <w:r>
        <w:rPr>
          <w:rFonts w:hint="eastAsia"/>
          <w:color w:val="000000" w:themeColor="text1"/>
          <w:szCs w:val="32"/>
          <w14:textFill>
            <w14:solidFill>
              <w14:schemeClr w14:val="tx1"/>
            </w14:solidFill>
          </w14:textFill>
        </w:rPr>
        <w:t>年，展望至</w:t>
      </w:r>
      <w:r>
        <w:rPr>
          <w:color w:val="000000" w:themeColor="text1"/>
          <w:szCs w:val="32"/>
          <w14:textFill>
            <w14:solidFill>
              <w14:schemeClr w14:val="tx1"/>
            </w14:solidFill>
          </w14:textFill>
        </w:rPr>
        <w:t>2050</w:t>
      </w:r>
      <w:r>
        <w:rPr>
          <w:rFonts w:hint="eastAsia"/>
          <w:color w:val="000000" w:themeColor="text1"/>
          <w:szCs w:val="32"/>
          <w14:textFill>
            <w14:solidFill>
              <w14:schemeClr w14:val="tx1"/>
            </w14:solidFill>
          </w14:textFill>
        </w:rPr>
        <w:t>年。《规划》是额尔古纳市构建现代化高质量水利基础设施体系的综合性、基础性规划，是规划期内额尔古纳市水网建设的基本依据。</w:t>
      </w:r>
    </w:p>
    <w:p w14:paraId="6F273FEF">
      <w:pPr>
        <w:pStyle w:val="82"/>
        <w:ind w:firstLine="648"/>
        <w:sectPr>
          <w:footerReference r:id="rId4" w:type="default"/>
          <w:pgSz w:w="11906" w:h="16838"/>
          <w:pgMar w:top="1418" w:right="1418" w:bottom="1418" w:left="1418" w:header="851" w:footer="992" w:gutter="0"/>
          <w:pgNumType w:start="1"/>
          <w:cols w:space="425" w:num="1"/>
          <w:docGrid w:type="lines" w:linePitch="312" w:charSpace="0"/>
        </w:sectPr>
      </w:pPr>
    </w:p>
    <w:p w14:paraId="01EF9827">
      <w:pPr>
        <w:pStyle w:val="82"/>
        <w:ind w:firstLine="0" w:firstLineChars="0"/>
        <w:jc w:val="center"/>
        <w:rPr>
          <w:rFonts w:eastAsia="黑体"/>
          <w:b/>
          <w:szCs w:val="22"/>
        </w:rPr>
      </w:pPr>
      <w:r>
        <w:rPr>
          <w:rFonts w:eastAsia="黑体"/>
          <w:b/>
          <w:szCs w:val="22"/>
        </w:rPr>
        <w:t>目  录</w:t>
      </w:r>
    </w:p>
    <w:p w14:paraId="25BB82AF">
      <w:pPr>
        <w:pStyle w:val="16"/>
        <w:tabs>
          <w:tab w:val="right" w:leader="dot" w:pos="9060"/>
        </w:tabs>
        <w:rPr>
          <w:rFonts w:ascii="Times New Roman" w:hAnsi="Times New Roman" w:cs="Times New Roman" w:eastAsiaTheme="minorEastAsia"/>
          <w:sz w:val="22"/>
          <w:szCs w:val="24"/>
          <w14:ligatures w14:val="standardContextual"/>
        </w:rPr>
      </w:pPr>
      <w:r>
        <w:rPr>
          <w:rFonts w:ascii="Times New Roman" w:hAnsi="Times New Roman" w:cs="Times New Roman"/>
          <w:b/>
          <w:sz w:val="28"/>
          <w:szCs w:val="21"/>
        </w:rPr>
        <w:fldChar w:fldCharType="begin"/>
      </w:r>
      <w:r>
        <w:rPr>
          <w:rFonts w:ascii="Times New Roman" w:hAnsi="Times New Roman" w:cs="Times New Roman"/>
          <w:b/>
          <w:sz w:val="28"/>
          <w:szCs w:val="21"/>
        </w:rPr>
        <w:instrText xml:space="preserve"> TOC \o "1-2" \h \z \u </w:instrText>
      </w:r>
      <w:r>
        <w:rPr>
          <w:rFonts w:ascii="Times New Roman" w:hAnsi="Times New Roman" w:cs="Times New Roman"/>
          <w:b/>
          <w:sz w:val="28"/>
          <w:szCs w:val="21"/>
        </w:rPr>
        <w:fldChar w:fldCharType="separate"/>
      </w:r>
      <w:r>
        <w:fldChar w:fldCharType="begin"/>
      </w:r>
      <w:r>
        <w:instrText xml:space="preserve"> HYPERLINK \l "_Toc216964736" </w:instrText>
      </w:r>
      <w:r>
        <w:fldChar w:fldCharType="separate"/>
      </w:r>
      <w:r>
        <w:rPr>
          <w:rStyle w:val="28"/>
          <w:rFonts w:ascii="Times New Roman" w:hAnsi="Times New Roman" w:cs="Times New Roman"/>
        </w:rPr>
        <w:t>前 言</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_Toc216964736 \h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fldChar w:fldCharType="end"/>
      </w:r>
    </w:p>
    <w:p w14:paraId="2C780FC9">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"_Toc216964737" </w:instrText>
      </w:r>
      <w:r>
        <w:fldChar w:fldCharType="separate"/>
      </w:r>
      <w:r>
        <w:rPr>
          <w:rStyle w:val="28"/>
          <w:rFonts w:ascii="Times New Roman" w:hAnsi="Times New Roman" w:cs="Times New Roman"/>
        </w:rPr>
        <w:t>一、建设基础与面临形势</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_Toc216964737 \h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fldChar w:fldCharType="end"/>
      </w:r>
    </w:p>
    <w:p w14:paraId="597F2222">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"_Toc216964738" </w:instrText>
      </w:r>
      <w:r>
        <w:fldChar w:fldCharType="separate"/>
      </w:r>
      <w:r>
        <w:rPr>
          <w:rStyle w:val="28"/>
          <w:rFonts w:ascii="Times New Roman" w:hAnsi="Times New Roman" w:cs="Times New Roman"/>
        </w:rPr>
        <w:t>（一）基本市情</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_Toc216964738 \h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fldChar w:fldCharType="end"/>
      </w:r>
    </w:p>
    <w:p w14:paraId="36D39092">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"_Toc216964739" </w:instrText>
      </w:r>
      <w:r>
        <w:fldChar w:fldCharType="separate"/>
      </w:r>
      <w:r>
        <w:rPr>
          <w:rStyle w:val="28"/>
          <w:rFonts w:ascii="Times New Roman" w:hAnsi="Times New Roman" w:cs="Times New Roman"/>
        </w:rPr>
        <w:t>（二）水利基础设施建设现状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_Toc216964739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51CF3D25">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"_Toc216964740" </w:instrText>
      </w:r>
      <w:r>
        <w:fldChar w:fldCharType="separate"/>
      </w:r>
      <w:r>
        <w:rPr>
          <w:rStyle w:val="28"/>
          <w:rFonts w:ascii="Times New Roman" w:hAnsi="Times New Roman" w:cs="Times New Roman"/>
        </w:rPr>
        <w:t>（三）存在主要问题</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_Toc216964740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14:paraId="6935F8EA">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"_Toc216964741" </w:instrText>
      </w:r>
      <w:r>
        <w:fldChar w:fldCharType="separate"/>
      </w:r>
      <w:r>
        <w:rPr>
          <w:rStyle w:val="28"/>
          <w:rFonts w:ascii="Times New Roman" w:hAnsi="Times New Roman" w:cs="Times New Roman"/>
        </w:rPr>
        <w:t>（四）面临形势与建设需求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_Toc216964741 \h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hAnsi="Times New Roman" w:cs="Times New Roman"/>
        </w:rPr>
        <w:fldChar w:fldCharType="end"/>
      </w:r>
    </w:p>
    <w:p w14:paraId="5F48DBC2">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"_Toc216964742" </w:instrText>
      </w:r>
      <w:r>
        <w:fldChar w:fldCharType="separate"/>
      </w:r>
      <w:r>
        <w:rPr>
          <w:rStyle w:val="28"/>
          <w:rFonts w:ascii="Times New Roman" w:hAnsi="Times New Roman" w:cs="Times New Roman"/>
        </w:rPr>
        <w:t>二、总体思路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_Toc216964742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14:paraId="1E91BE19">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"_Toc216964743" </w:instrText>
      </w:r>
      <w:r>
        <w:fldChar w:fldCharType="separate"/>
      </w:r>
      <w:r>
        <w:rPr>
          <w:rStyle w:val="28"/>
          <w:rFonts w:ascii="Times New Roman" w:hAnsi="Times New Roman" w:cs="Times New Roman"/>
        </w:rPr>
        <w:t>（一）指导思想</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_Toc216964743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14:paraId="24F94D07">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"_Toc216964744" </w:instrText>
      </w:r>
      <w:r>
        <w:fldChar w:fldCharType="separate"/>
      </w:r>
      <w:r>
        <w:rPr>
          <w:rStyle w:val="28"/>
          <w:rFonts w:ascii="Times New Roman" w:hAnsi="Times New Roman" w:cs="Times New Roman"/>
        </w:rPr>
        <w:t>（二）基本原则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_Toc216964744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14:paraId="0D1C4779">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"_Toc216964745" </w:instrText>
      </w:r>
      <w:r>
        <w:fldChar w:fldCharType="separate"/>
      </w:r>
      <w:r>
        <w:rPr>
          <w:rStyle w:val="28"/>
          <w:rFonts w:ascii="Times New Roman" w:hAnsi="Times New Roman" w:cs="Times New Roman"/>
        </w:rPr>
        <w:t>（三）规划范围及水平年</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_Toc216964745 \h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r>
        <w:rPr>
          <w:rFonts w:ascii="Times New Roman" w:hAnsi="Times New Roman" w:cs="Times New Roman"/>
        </w:rPr>
        <w:fldChar w:fldCharType="end"/>
      </w:r>
    </w:p>
    <w:p w14:paraId="28B1FE7B">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"_Toc216964746" </w:instrText>
      </w:r>
      <w:r>
        <w:fldChar w:fldCharType="separate"/>
      </w:r>
      <w:r>
        <w:rPr>
          <w:rStyle w:val="28"/>
          <w:rFonts w:ascii="Times New Roman" w:hAnsi="Times New Roman" w:cs="Times New Roman"/>
        </w:rPr>
        <w:t>（四）规划目标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_Toc216964746 \h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r>
        <w:rPr>
          <w:rFonts w:ascii="Times New Roman" w:hAnsi="Times New Roman" w:cs="Times New Roman"/>
        </w:rPr>
        <w:fldChar w:fldCharType="end"/>
      </w:r>
    </w:p>
    <w:p w14:paraId="2C723BB6">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"_Toc216964747" </w:instrText>
      </w:r>
      <w:r>
        <w:fldChar w:fldCharType="separate"/>
      </w:r>
      <w:r>
        <w:rPr>
          <w:rStyle w:val="28"/>
          <w:rFonts w:ascii="Times New Roman" w:hAnsi="Times New Roman" w:cs="Times New Roman"/>
        </w:rPr>
        <w:t>（五）总体布局</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_Toc216964747 \h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r>
        <w:rPr>
          <w:rFonts w:ascii="Times New Roman" w:hAnsi="Times New Roman" w:cs="Times New Roman"/>
        </w:rPr>
        <w:fldChar w:fldCharType="end"/>
      </w:r>
    </w:p>
    <w:p w14:paraId="030CB3E7">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"_Toc216964748" </w:instrText>
      </w:r>
      <w:r>
        <w:fldChar w:fldCharType="separate"/>
      </w:r>
      <w:r>
        <w:rPr>
          <w:rStyle w:val="28"/>
          <w:rFonts w:ascii="Times New Roman" w:hAnsi="Times New Roman" w:cs="Times New Roman"/>
        </w:rPr>
        <w:t>（六）主要建设任务</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_Toc216964748 \h </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r>
        <w:rPr>
          <w:rFonts w:ascii="Times New Roman" w:hAnsi="Times New Roman" w:cs="Times New Roman"/>
        </w:rPr>
        <w:fldChar w:fldCharType="end"/>
      </w:r>
    </w:p>
    <w:p w14:paraId="0C02D6F6">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"_Toc216964749" </w:instrText>
      </w:r>
      <w:r>
        <w:fldChar w:fldCharType="separate"/>
      </w:r>
      <w:r>
        <w:rPr>
          <w:rStyle w:val="28"/>
          <w:rFonts w:ascii="Times New Roman" w:hAnsi="Times New Roman" w:cs="Times New Roman"/>
        </w:rPr>
        <w:t>三、构建防洪排涝网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_Toc216964749 \h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cs="Times New Roman"/>
        </w:rPr>
        <w:fldChar w:fldCharType="end"/>
      </w:r>
    </w:p>
    <w:p w14:paraId="1296C29E">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"_Toc216964750" </w:instrText>
      </w:r>
      <w:r>
        <w:fldChar w:fldCharType="separate"/>
      </w:r>
      <w:r>
        <w:rPr>
          <w:rStyle w:val="28"/>
          <w:rFonts w:ascii="Times New Roman" w:hAnsi="Times New Roman" w:cs="Times New Roman"/>
        </w:rPr>
        <w:t>（一）建设思路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_Toc216964750 \h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cs="Times New Roman"/>
        </w:rPr>
        <w:fldChar w:fldCharType="end"/>
      </w:r>
    </w:p>
    <w:p w14:paraId="0783FC01">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"_Toc216964751" </w:instrText>
      </w:r>
      <w:r>
        <w:fldChar w:fldCharType="separate"/>
      </w:r>
      <w:r>
        <w:rPr>
          <w:rStyle w:val="28"/>
          <w:rFonts w:ascii="Times New Roman" w:hAnsi="Times New Roman" w:cs="Times New Roman"/>
        </w:rPr>
        <w:t>（二）防洪标准和布局</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_Toc216964751 \h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cs="Times New Roman"/>
        </w:rPr>
        <w:fldChar w:fldCharType="end"/>
      </w:r>
    </w:p>
    <w:p w14:paraId="34E44543">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"_Toc216964752" </w:instrText>
      </w:r>
      <w:r>
        <w:fldChar w:fldCharType="separate"/>
      </w:r>
      <w:r>
        <w:rPr>
          <w:rStyle w:val="28"/>
          <w:rFonts w:ascii="Times New Roman" w:hAnsi="Times New Roman" w:cs="Times New Roman"/>
        </w:rPr>
        <w:t>（三）提高河道泄洪能力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_Toc216964752 \h </w:instrText>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r>
        <w:rPr>
          <w:rFonts w:ascii="Times New Roman" w:hAnsi="Times New Roman" w:cs="Times New Roman"/>
        </w:rPr>
        <w:fldChar w:fldCharType="end"/>
      </w:r>
    </w:p>
    <w:p w14:paraId="436B0874">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"_Toc216964753" </w:instrText>
      </w:r>
      <w:r>
        <w:fldChar w:fldCharType="separate"/>
      </w:r>
      <w:r>
        <w:rPr>
          <w:rStyle w:val="28"/>
          <w:rFonts w:ascii="Times New Roman" w:hAnsi="Times New Roman" w:cs="Times New Roman"/>
        </w:rPr>
        <w:t>（四）加强城市防洪排涝体系建设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_Toc216964753 \h </w:instrText>
      </w:r>
      <w:r>
        <w:rPr>
          <w:rFonts w:ascii="Times New Roman" w:hAnsi="Times New Roman" w:cs="Times New Roman"/>
        </w:rPr>
        <w:fldChar w:fldCharType="separate"/>
      </w:r>
      <w:r>
        <w:rPr>
          <w:rFonts w:ascii="Times New Roman" w:hAnsi="Times New Roman" w:cs="Times New Roman"/>
        </w:rPr>
        <w:t>32</w:t>
      </w:r>
      <w:r>
        <w:rPr>
          <w:rFonts w:ascii="Times New Roman" w:hAnsi="Times New Roman" w:cs="Times New Roman"/>
        </w:rPr>
        <w:fldChar w:fldCharType="end"/>
      </w:r>
      <w:r>
        <w:rPr>
          <w:rFonts w:ascii="Times New Roman" w:hAnsi="Times New Roman" w:cs="Times New Roman"/>
        </w:rPr>
        <w:fldChar w:fldCharType="end"/>
      </w:r>
    </w:p>
    <w:p w14:paraId="2DF7788A">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"_Toc216964754" </w:instrText>
      </w:r>
      <w:r>
        <w:fldChar w:fldCharType="separate"/>
      </w:r>
      <w:r>
        <w:rPr>
          <w:rStyle w:val="28"/>
          <w:rFonts w:ascii="Times New Roman" w:hAnsi="Times New Roman" w:cs="Times New Roman"/>
        </w:rPr>
        <w:t>（五）提高洪水风险防控能力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_Toc216964754 \h </w:instrText>
      </w:r>
      <w:r>
        <w:rPr>
          <w:rFonts w:ascii="Times New Roman" w:hAnsi="Times New Roman" w:cs="Times New Roman"/>
        </w:rPr>
        <w:fldChar w:fldCharType="separate"/>
      </w:r>
      <w:r>
        <w:rPr>
          <w:rFonts w:ascii="Times New Roman" w:hAnsi="Times New Roman" w:cs="Times New Roman"/>
        </w:rPr>
        <w:t>33</w:t>
      </w:r>
      <w:r>
        <w:rPr>
          <w:rFonts w:ascii="Times New Roman" w:hAnsi="Times New Roman" w:cs="Times New Roman"/>
        </w:rPr>
        <w:fldChar w:fldCharType="end"/>
      </w:r>
      <w:r>
        <w:rPr>
          <w:rFonts w:ascii="Times New Roman" w:hAnsi="Times New Roman" w:cs="Times New Roman"/>
        </w:rPr>
        <w:fldChar w:fldCharType="end"/>
      </w:r>
    </w:p>
    <w:p w14:paraId="1671B11B">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"_Toc216964755" </w:instrText>
      </w:r>
      <w:r>
        <w:fldChar w:fldCharType="separate"/>
      </w:r>
      <w:r>
        <w:rPr>
          <w:rStyle w:val="28"/>
          <w:rFonts w:ascii="Times New Roman" w:hAnsi="Times New Roman" w:cs="Times New Roman"/>
        </w:rPr>
        <w:t>四、构建城乡供水网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_Toc216964755 \h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r>
        <w:rPr>
          <w:rFonts w:ascii="Times New Roman" w:hAnsi="Times New Roman" w:cs="Times New Roman"/>
        </w:rPr>
        <w:fldChar w:fldCharType="end"/>
      </w:r>
    </w:p>
    <w:p w14:paraId="2BEFF1A1">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"_Toc216964756" </w:instrText>
      </w:r>
      <w:r>
        <w:fldChar w:fldCharType="separate"/>
      </w:r>
      <w:r>
        <w:rPr>
          <w:rStyle w:val="28"/>
          <w:rFonts w:ascii="Times New Roman" w:hAnsi="Times New Roman" w:cs="Times New Roman"/>
        </w:rPr>
        <w:t>（一）建设思路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_Toc216964756 \h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r>
        <w:rPr>
          <w:rFonts w:ascii="Times New Roman" w:hAnsi="Times New Roman" w:cs="Times New Roman"/>
        </w:rPr>
        <w:fldChar w:fldCharType="end"/>
      </w:r>
    </w:p>
    <w:p w14:paraId="6CA4901C">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"_Toc216964757" </w:instrText>
      </w:r>
      <w:r>
        <w:fldChar w:fldCharType="separate"/>
      </w:r>
      <w:r>
        <w:rPr>
          <w:rStyle w:val="28"/>
          <w:rFonts w:ascii="Times New Roman" w:hAnsi="Times New Roman" w:cs="Times New Roman"/>
        </w:rPr>
        <w:t>（二）水资源供需分析与配置方案</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_Toc216964757 \h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r>
        <w:rPr>
          <w:rFonts w:ascii="Times New Roman" w:hAnsi="Times New Roman" w:cs="Times New Roman"/>
        </w:rPr>
        <w:fldChar w:fldCharType="end"/>
      </w:r>
    </w:p>
    <w:p w14:paraId="72CA1285">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"_Toc216964758" </w:instrText>
      </w:r>
      <w:r>
        <w:fldChar w:fldCharType="separate"/>
      </w:r>
      <w:r>
        <w:rPr>
          <w:rStyle w:val="28"/>
          <w:rFonts w:ascii="Times New Roman" w:hAnsi="Times New Roman" w:cs="Times New Roman"/>
        </w:rPr>
        <w:t>（三）加强城镇供水体系建设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_Toc216964758 \h </w:instrText>
      </w:r>
      <w:r>
        <w:rPr>
          <w:rFonts w:ascii="Times New Roman" w:hAnsi="Times New Roman" w:cs="Times New Roman"/>
        </w:rPr>
        <w:fldChar w:fldCharType="separate"/>
      </w:r>
      <w:r>
        <w:rPr>
          <w:rFonts w:ascii="Times New Roman" w:hAnsi="Times New Roman" w:cs="Times New Roman"/>
        </w:rPr>
        <w:t>45</w:t>
      </w:r>
      <w:r>
        <w:rPr>
          <w:rFonts w:ascii="Times New Roman" w:hAnsi="Times New Roman" w:cs="Times New Roman"/>
        </w:rPr>
        <w:fldChar w:fldCharType="end"/>
      </w:r>
      <w:r>
        <w:rPr>
          <w:rFonts w:ascii="Times New Roman" w:hAnsi="Times New Roman" w:cs="Times New Roman"/>
        </w:rPr>
        <w:fldChar w:fldCharType="end"/>
      </w:r>
    </w:p>
    <w:p w14:paraId="6D801408">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"_Toc216964759" </w:instrText>
      </w:r>
      <w:r>
        <w:fldChar w:fldCharType="separate"/>
      </w:r>
      <w:r>
        <w:rPr>
          <w:rStyle w:val="28"/>
          <w:rFonts w:ascii="Times New Roman" w:hAnsi="Times New Roman" w:cs="Times New Roman"/>
        </w:rPr>
        <w:t>（四）推动农村牧区供水高质量发展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_Toc216964759 \h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fldChar w:fldCharType="end"/>
      </w:r>
    </w:p>
    <w:p w14:paraId="7082077A">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"_Toc216964760" </w:instrText>
      </w:r>
      <w:r>
        <w:fldChar w:fldCharType="separate"/>
      </w:r>
      <w:r>
        <w:rPr>
          <w:rStyle w:val="28"/>
          <w:rFonts w:ascii="Times New Roman" w:hAnsi="Times New Roman" w:cs="Times New Roman"/>
        </w:rPr>
        <w:t>（五）战略储备水源建设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_Toc216964760 \h </w:instrText>
      </w:r>
      <w:r>
        <w:rPr>
          <w:rFonts w:ascii="Times New Roman" w:hAnsi="Times New Roman" w:cs="Times New Roman"/>
        </w:rPr>
        <w:fldChar w:fldCharType="separate"/>
      </w:r>
      <w:r>
        <w:rPr>
          <w:rFonts w:ascii="Times New Roman" w:hAnsi="Times New Roman" w:cs="Times New Roman"/>
        </w:rPr>
        <w:t>48</w:t>
      </w:r>
      <w:r>
        <w:rPr>
          <w:rFonts w:ascii="Times New Roman" w:hAnsi="Times New Roman" w:cs="Times New Roman"/>
        </w:rPr>
        <w:fldChar w:fldCharType="end"/>
      </w:r>
      <w:r>
        <w:rPr>
          <w:rFonts w:ascii="Times New Roman" w:hAnsi="Times New Roman" w:cs="Times New Roman"/>
        </w:rPr>
        <w:fldChar w:fldCharType="end"/>
      </w:r>
    </w:p>
    <w:p w14:paraId="0ED86C6A">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"_Toc216964761" </w:instrText>
      </w:r>
      <w:r>
        <w:fldChar w:fldCharType="separate"/>
      </w:r>
      <w:r>
        <w:rPr>
          <w:rStyle w:val="28"/>
          <w:rFonts w:ascii="Times New Roman" w:hAnsi="Times New Roman" w:cs="Times New Roman"/>
        </w:rPr>
        <w:t>五、构建灌溉排水网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_Toc216964761 \h </w:instrText>
      </w:r>
      <w:r>
        <w:rPr>
          <w:rFonts w:ascii="Times New Roman" w:hAnsi="Times New Roman" w:cs="Times New Roman"/>
        </w:rPr>
        <w:fldChar w:fldCharType="separate"/>
      </w:r>
      <w:r>
        <w:rPr>
          <w:rFonts w:ascii="Times New Roman" w:hAnsi="Times New Roman" w:cs="Times New Roman"/>
        </w:rPr>
        <w:t>49</w:t>
      </w:r>
      <w:r>
        <w:rPr>
          <w:rFonts w:ascii="Times New Roman" w:hAnsi="Times New Roman" w:cs="Times New Roman"/>
        </w:rPr>
        <w:fldChar w:fldCharType="end"/>
      </w:r>
      <w:r>
        <w:rPr>
          <w:rFonts w:ascii="Times New Roman" w:hAnsi="Times New Roman" w:cs="Times New Roman"/>
        </w:rPr>
        <w:fldChar w:fldCharType="end"/>
      </w:r>
    </w:p>
    <w:p w14:paraId="0876F9DF">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"_Toc216964762" </w:instrText>
      </w:r>
      <w:r>
        <w:fldChar w:fldCharType="separate"/>
      </w:r>
      <w:r>
        <w:rPr>
          <w:rStyle w:val="28"/>
          <w:rFonts w:ascii="Times New Roman" w:hAnsi="Times New Roman" w:cs="Times New Roman"/>
        </w:rPr>
        <w:t>（一）建设思路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_Toc216964762 \h </w:instrText>
      </w:r>
      <w:r>
        <w:rPr>
          <w:rFonts w:ascii="Times New Roman" w:hAnsi="Times New Roman" w:cs="Times New Roman"/>
        </w:rPr>
        <w:fldChar w:fldCharType="separate"/>
      </w:r>
      <w:r>
        <w:rPr>
          <w:rFonts w:ascii="Times New Roman" w:hAnsi="Times New Roman" w:cs="Times New Roman"/>
        </w:rPr>
        <w:t>49</w:t>
      </w:r>
      <w:r>
        <w:rPr>
          <w:rFonts w:ascii="Times New Roman" w:hAnsi="Times New Roman" w:cs="Times New Roman"/>
        </w:rPr>
        <w:fldChar w:fldCharType="end"/>
      </w:r>
      <w:r>
        <w:rPr>
          <w:rFonts w:ascii="Times New Roman" w:hAnsi="Times New Roman" w:cs="Times New Roman"/>
        </w:rPr>
        <w:fldChar w:fldCharType="end"/>
      </w:r>
    </w:p>
    <w:p w14:paraId="47EB6809">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"_Toc216964763" </w:instrText>
      </w:r>
      <w:r>
        <w:fldChar w:fldCharType="separate"/>
      </w:r>
      <w:r>
        <w:rPr>
          <w:rStyle w:val="28"/>
          <w:rFonts w:ascii="Times New Roman" w:hAnsi="Times New Roman" w:cs="Times New Roman"/>
        </w:rPr>
        <w:t>（二）推进灌溉水源工程建设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_Toc216964763 \h </w:instrText>
      </w:r>
      <w:r>
        <w:rPr>
          <w:rFonts w:ascii="Times New Roman" w:hAnsi="Times New Roman" w:cs="Times New Roman"/>
        </w:rPr>
        <w:fldChar w:fldCharType="separate"/>
      </w:r>
      <w:r>
        <w:rPr>
          <w:rFonts w:ascii="Times New Roman" w:hAnsi="Times New Roman" w:cs="Times New Roman"/>
        </w:rPr>
        <w:t>49</w:t>
      </w:r>
      <w:r>
        <w:rPr>
          <w:rFonts w:ascii="Times New Roman" w:hAnsi="Times New Roman" w:cs="Times New Roman"/>
        </w:rPr>
        <w:fldChar w:fldCharType="end"/>
      </w:r>
      <w:r>
        <w:rPr>
          <w:rFonts w:ascii="Times New Roman" w:hAnsi="Times New Roman" w:cs="Times New Roman"/>
        </w:rPr>
        <w:fldChar w:fldCharType="end"/>
      </w:r>
    </w:p>
    <w:p w14:paraId="5D1C76B0">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"_Toc216964764" </w:instrText>
      </w:r>
      <w:r>
        <w:fldChar w:fldCharType="separate"/>
      </w:r>
      <w:r>
        <w:rPr>
          <w:rStyle w:val="28"/>
          <w:rFonts w:ascii="Times New Roman" w:hAnsi="Times New Roman" w:cs="Times New Roman"/>
        </w:rPr>
        <w:t>（三）推进中型灌区续建配套和现代化改造</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_Toc216964764 \h </w:instrText>
      </w:r>
      <w:r>
        <w:rPr>
          <w:rFonts w:ascii="Times New Roman" w:hAnsi="Times New Roman" w:cs="Times New Roman"/>
        </w:rPr>
        <w:fldChar w:fldCharType="separate"/>
      </w:r>
      <w:r>
        <w:rPr>
          <w:rFonts w:ascii="Times New Roman" w:hAnsi="Times New Roman" w:cs="Times New Roman"/>
        </w:rPr>
        <w:t>50</w:t>
      </w:r>
      <w:r>
        <w:rPr>
          <w:rFonts w:ascii="Times New Roman" w:hAnsi="Times New Roman" w:cs="Times New Roman"/>
        </w:rPr>
        <w:fldChar w:fldCharType="end"/>
      </w:r>
      <w:r>
        <w:rPr>
          <w:rFonts w:ascii="Times New Roman" w:hAnsi="Times New Roman" w:cs="Times New Roman"/>
        </w:rPr>
        <w:fldChar w:fldCharType="end"/>
      </w:r>
    </w:p>
    <w:p w14:paraId="78EDBD21">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"_Toc216964765" </w:instrText>
      </w:r>
      <w:r>
        <w:fldChar w:fldCharType="separate"/>
      </w:r>
      <w:r>
        <w:rPr>
          <w:rStyle w:val="28"/>
          <w:rFonts w:ascii="Times New Roman" w:hAnsi="Times New Roman" w:cs="Times New Roman"/>
        </w:rPr>
        <w:t>（四）推进新建大中型灌区建设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_Toc216964765 \h </w:instrText>
      </w:r>
      <w:r>
        <w:rPr>
          <w:rFonts w:ascii="Times New Roman" w:hAnsi="Times New Roman" w:cs="Times New Roman"/>
        </w:rPr>
        <w:fldChar w:fldCharType="separate"/>
      </w:r>
      <w:r>
        <w:rPr>
          <w:rFonts w:ascii="Times New Roman" w:hAnsi="Times New Roman" w:cs="Times New Roman"/>
        </w:rPr>
        <w:t>51</w:t>
      </w:r>
      <w:r>
        <w:rPr>
          <w:rFonts w:ascii="Times New Roman" w:hAnsi="Times New Roman" w:cs="Times New Roman"/>
        </w:rPr>
        <w:fldChar w:fldCharType="end"/>
      </w:r>
      <w:r>
        <w:rPr>
          <w:rFonts w:ascii="Times New Roman" w:hAnsi="Times New Roman" w:cs="Times New Roman"/>
        </w:rPr>
        <w:fldChar w:fldCharType="end"/>
      </w:r>
    </w:p>
    <w:p w14:paraId="672E1A4F">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"_Toc216964766" </w:instrText>
      </w:r>
      <w:r>
        <w:fldChar w:fldCharType="separate"/>
      </w:r>
      <w:r>
        <w:rPr>
          <w:rStyle w:val="28"/>
          <w:rFonts w:ascii="Times New Roman" w:hAnsi="Times New Roman" w:cs="Times New Roman"/>
        </w:rPr>
        <w:t>六、构建河湖水生态保护网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_Toc216964766 \h </w:instrText>
      </w:r>
      <w:r>
        <w:rPr>
          <w:rFonts w:ascii="Times New Roman" w:hAnsi="Times New Roman" w:cs="Times New Roman"/>
        </w:rPr>
        <w:fldChar w:fldCharType="separate"/>
      </w:r>
      <w:r>
        <w:rPr>
          <w:rFonts w:ascii="Times New Roman" w:hAnsi="Times New Roman" w:cs="Times New Roman"/>
        </w:rPr>
        <w:t>52</w:t>
      </w:r>
      <w:r>
        <w:rPr>
          <w:rFonts w:ascii="Times New Roman" w:hAnsi="Times New Roman" w:cs="Times New Roman"/>
        </w:rPr>
        <w:fldChar w:fldCharType="end"/>
      </w:r>
      <w:r>
        <w:rPr>
          <w:rFonts w:ascii="Times New Roman" w:hAnsi="Times New Roman" w:cs="Times New Roman"/>
        </w:rPr>
        <w:fldChar w:fldCharType="end"/>
      </w:r>
    </w:p>
    <w:p w14:paraId="249EA3FE">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"_Toc216964767" </w:instrText>
      </w:r>
      <w:r>
        <w:fldChar w:fldCharType="separate"/>
      </w:r>
      <w:r>
        <w:rPr>
          <w:rStyle w:val="28"/>
          <w:rFonts w:ascii="Times New Roman" w:hAnsi="Times New Roman" w:cs="Times New Roman"/>
        </w:rPr>
        <w:t>（一）建设思路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_Toc216964767 \h </w:instrText>
      </w:r>
      <w:r>
        <w:rPr>
          <w:rFonts w:ascii="Times New Roman" w:hAnsi="Times New Roman" w:cs="Times New Roman"/>
        </w:rPr>
        <w:fldChar w:fldCharType="separate"/>
      </w:r>
      <w:r>
        <w:rPr>
          <w:rFonts w:ascii="Times New Roman" w:hAnsi="Times New Roman" w:cs="Times New Roman"/>
        </w:rPr>
        <w:t>52</w:t>
      </w:r>
      <w:r>
        <w:rPr>
          <w:rFonts w:ascii="Times New Roman" w:hAnsi="Times New Roman" w:cs="Times New Roman"/>
        </w:rPr>
        <w:fldChar w:fldCharType="end"/>
      </w:r>
      <w:r>
        <w:rPr>
          <w:rFonts w:ascii="Times New Roman" w:hAnsi="Times New Roman" w:cs="Times New Roman"/>
        </w:rPr>
        <w:fldChar w:fldCharType="end"/>
      </w:r>
    </w:p>
    <w:p w14:paraId="6DB72FB9">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"_Toc216964768" </w:instrText>
      </w:r>
      <w:r>
        <w:fldChar w:fldCharType="separate"/>
      </w:r>
      <w:r>
        <w:rPr>
          <w:rStyle w:val="28"/>
          <w:rFonts w:ascii="Times New Roman" w:hAnsi="Times New Roman" w:cs="Times New Roman"/>
        </w:rPr>
        <w:t>（二）加强水土流失治理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_Toc216964768 \h </w:instrText>
      </w:r>
      <w:r>
        <w:rPr>
          <w:rFonts w:ascii="Times New Roman" w:hAnsi="Times New Roman" w:cs="Times New Roman"/>
        </w:rPr>
        <w:fldChar w:fldCharType="separate"/>
      </w:r>
      <w:r>
        <w:rPr>
          <w:rFonts w:ascii="Times New Roman" w:hAnsi="Times New Roman" w:cs="Times New Roman"/>
        </w:rPr>
        <w:t>53</w:t>
      </w:r>
      <w:r>
        <w:rPr>
          <w:rFonts w:ascii="Times New Roman" w:hAnsi="Times New Roman" w:cs="Times New Roman"/>
        </w:rPr>
        <w:fldChar w:fldCharType="end"/>
      </w:r>
      <w:r>
        <w:rPr>
          <w:rFonts w:ascii="Times New Roman" w:hAnsi="Times New Roman" w:cs="Times New Roman"/>
        </w:rPr>
        <w:fldChar w:fldCharType="end"/>
      </w:r>
    </w:p>
    <w:p w14:paraId="1C40F6E1">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"_Toc216964769" </w:instrText>
      </w:r>
      <w:r>
        <w:fldChar w:fldCharType="separate"/>
      </w:r>
      <w:r>
        <w:rPr>
          <w:rStyle w:val="28"/>
          <w:rFonts w:ascii="Times New Roman" w:hAnsi="Times New Roman" w:cs="Times New Roman"/>
        </w:rPr>
        <w:t>（三）推进重点河湖生态保护修复</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_Toc216964769 \h </w:instrText>
      </w:r>
      <w:r>
        <w:rPr>
          <w:rFonts w:ascii="Times New Roman" w:hAnsi="Times New Roman" w:cs="Times New Roman"/>
        </w:rPr>
        <w:fldChar w:fldCharType="separate"/>
      </w:r>
      <w:r>
        <w:rPr>
          <w:rFonts w:ascii="Times New Roman" w:hAnsi="Times New Roman" w:cs="Times New Roman"/>
        </w:rPr>
        <w:t>57</w:t>
      </w:r>
      <w:r>
        <w:rPr>
          <w:rFonts w:ascii="Times New Roman" w:hAnsi="Times New Roman" w:cs="Times New Roman"/>
        </w:rPr>
        <w:fldChar w:fldCharType="end"/>
      </w:r>
      <w:r>
        <w:rPr>
          <w:rFonts w:ascii="Times New Roman" w:hAnsi="Times New Roman" w:cs="Times New Roman"/>
        </w:rPr>
        <w:fldChar w:fldCharType="end"/>
      </w:r>
    </w:p>
    <w:p w14:paraId="6CC466B7">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"_Toc216964770" </w:instrText>
      </w:r>
      <w:r>
        <w:fldChar w:fldCharType="separate"/>
      </w:r>
      <w:r>
        <w:rPr>
          <w:rStyle w:val="28"/>
          <w:rFonts w:ascii="Times New Roman" w:hAnsi="Times New Roman" w:cs="Times New Roman"/>
        </w:rPr>
        <w:t>七、构建数字孪生水网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_Toc216964770 \h </w:instrText>
      </w:r>
      <w:r>
        <w:rPr>
          <w:rFonts w:ascii="Times New Roman" w:hAnsi="Times New Roman" w:cs="Times New Roman"/>
        </w:rPr>
        <w:fldChar w:fldCharType="separate"/>
      </w:r>
      <w:r>
        <w:rPr>
          <w:rFonts w:ascii="Times New Roman" w:hAnsi="Times New Roman" w:cs="Times New Roman"/>
        </w:rPr>
        <w:t>61</w:t>
      </w:r>
      <w:r>
        <w:rPr>
          <w:rFonts w:ascii="Times New Roman" w:hAnsi="Times New Roman" w:cs="Times New Roman"/>
        </w:rPr>
        <w:fldChar w:fldCharType="end"/>
      </w:r>
      <w:r>
        <w:rPr>
          <w:rFonts w:ascii="Times New Roman" w:hAnsi="Times New Roman" w:cs="Times New Roman"/>
        </w:rPr>
        <w:fldChar w:fldCharType="end"/>
      </w:r>
    </w:p>
    <w:p w14:paraId="0C2493C4">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"_Toc216964771" </w:instrText>
      </w:r>
      <w:r>
        <w:fldChar w:fldCharType="separate"/>
      </w:r>
      <w:r>
        <w:rPr>
          <w:rStyle w:val="28"/>
          <w:rFonts w:ascii="Times New Roman" w:hAnsi="Times New Roman" w:cs="Times New Roman"/>
        </w:rPr>
        <w:t>（一）建设思路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_Toc216964771 \h </w:instrText>
      </w:r>
      <w:r>
        <w:rPr>
          <w:rFonts w:ascii="Times New Roman" w:hAnsi="Times New Roman" w:cs="Times New Roman"/>
        </w:rPr>
        <w:fldChar w:fldCharType="separate"/>
      </w:r>
      <w:r>
        <w:rPr>
          <w:rFonts w:ascii="Times New Roman" w:hAnsi="Times New Roman" w:cs="Times New Roman"/>
        </w:rPr>
        <w:t>61</w:t>
      </w:r>
      <w:r>
        <w:rPr>
          <w:rFonts w:ascii="Times New Roman" w:hAnsi="Times New Roman" w:cs="Times New Roman"/>
        </w:rPr>
        <w:fldChar w:fldCharType="end"/>
      </w:r>
      <w:r>
        <w:rPr>
          <w:rFonts w:ascii="Times New Roman" w:hAnsi="Times New Roman" w:cs="Times New Roman"/>
        </w:rPr>
        <w:fldChar w:fldCharType="end"/>
      </w:r>
    </w:p>
    <w:p w14:paraId="4BF0CF2E">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"_Toc216964772" </w:instrText>
      </w:r>
      <w:r>
        <w:fldChar w:fldCharType="separate"/>
      </w:r>
      <w:r>
        <w:rPr>
          <w:rStyle w:val="28"/>
          <w:rFonts w:ascii="Times New Roman" w:hAnsi="Times New Roman" w:cs="Times New Roman"/>
        </w:rPr>
        <w:t>（二）完善水网信息化基础设施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_Toc216964772 \h </w:instrText>
      </w:r>
      <w:r>
        <w:rPr>
          <w:rFonts w:ascii="Times New Roman" w:hAnsi="Times New Roman" w:cs="Times New Roman"/>
        </w:rPr>
        <w:fldChar w:fldCharType="separate"/>
      </w:r>
      <w:r>
        <w:rPr>
          <w:rFonts w:ascii="Times New Roman" w:hAnsi="Times New Roman" w:cs="Times New Roman"/>
        </w:rPr>
        <w:t>61</w:t>
      </w:r>
      <w:r>
        <w:rPr>
          <w:rFonts w:ascii="Times New Roman" w:hAnsi="Times New Roman" w:cs="Times New Roman"/>
        </w:rPr>
        <w:fldChar w:fldCharType="end"/>
      </w:r>
      <w:r>
        <w:rPr>
          <w:rFonts w:ascii="Times New Roman" w:hAnsi="Times New Roman" w:cs="Times New Roman"/>
        </w:rPr>
        <w:fldChar w:fldCharType="end"/>
      </w:r>
    </w:p>
    <w:p w14:paraId="6A926059">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"_Toc216964773" </w:instrText>
      </w:r>
      <w:r>
        <w:fldChar w:fldCharType="separate"/>
      </w:r>
      <w:r>
        <w:rPr>
          <w:rStyle w:val="28"/>
          <w:rFonts w:ascii="Times New Roman" w:hAnsi="Times New Roman" w:cs="Times New Roman"/>
        </w:rPr>
        <w:t>（三）构建数字孪生平台</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_Toc216964773 \h </w:instrText>
      </w:r>
      <w:r>
        <w:rPr>
          <w:rFonts w:ascii="Times New Roman" w:hAnsi="Times New Roman" w:cs="Times New Roman"/>
        </w:rPr>
        <w:fldChar w:fldCharType="separate"/>
      </w:r>
      <w:r>
        <w:rPr>
          <w:rFonts w:ascii="Times New Roman" w:hAnsi="Times New Roman" w:cs="Times New Roman"/>
        </w:rPr>
        <w:t>65</w:t>
      </w:r>
      <w:r>
        <w:rPr>
          <w:rFonts w:ascii="Times New Roman" w:hAnsi="Times New Roman" w:cs="Times New Roman"/>
        </w:rPr>
        <w:fldChar w:fldCharType="end"/>
      </w:r>
      <w:r>
        <w:rPr>
          <w:rFonts w:ascii="Times New Roman" w:hAnsi="Times New Roman" w:cs="Times New Roman"/>
        </w:rPr>
        <w:fldChar w:fldCharType="end"/>
      </w:r>
    </w:p>
    <w:p w14:paraId="57E3D4CB">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"_Toc216964774" </w:instrText>
      </w:r>
      <w:r>
        <w:fldChar w:fldCharType="separate"/>
      </w:r>
      <w:r>
        <w:rPr>
          <w:rStyle w:val="28"/>
          <w:rFonts w:ascii="Times New Roman" w:hAnsi="Times New Roman" w:cs="Times New Roman"/>
        </w:rPr>
        <w:t>（四）建设水网业务应用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_Toc216964774 \h </w:instrText>
      </w:r>
      <w:r>
        <w:rPr>
          <w:rFonts w:ascii="Times New Roman" w:hAnsi="Times New Roman" w:cs="Times New Roman"/>
        </w:rPr>
        <w:fldChar w:fldCharType="separate"/>
      </w:r>
      <w:r>
        <w:rPr>
          <w:rFonts w:ascii="Times New Roman" w:hAnsi="Times New Roman" w:cs="Times New Roman"/>
        </w:rPr>
        <w:t>67</w:t>
      </w:r>
      <w:r>
        <w:rPr>
          <w:rFonts w:ascii="Times New Roman" w:hAnsi="Times New Roman" w:cs="Times New Roman"/>
        </w:rPr>
        <w:fldChar w:fldCharType="end"/>
      </w:r>
      <w:r>
        <w:rPr>
          <w:rFonts w:ascii="Times New Roman" w:hAnsi="Times New Roman" w:cs="Times New Roman"/>
        </w:rPr>
        <w:fldChar w:fldCharType="end"/>
      </w:r>
    </w:p>
    <w:p w14:paraId="648C1FA4">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"_Toc216964775" </w:instrText>
      </w:r>
      <w:r>
        <w:fldChar w:fldCharType="separate"/>
      </w:r>
      <w:r>
        <w:rPr>
          <w:rStyle w:val="28"/>
          <w:rFonts w:ascii="Times New Roman" w:hAnsi="Times New Roman" w:cs="Times New Roman"/>
        </w:rPr>
        <w:t>（五）推进网络安全及保障体系建设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_Toc216964775 \h </w:instrText>
      </w:r>
      <w:r>
        <w:rPr>
          <w:rFonts w:ascii="Times New Roman" w:hAnsi="Times New Roman" w:cs="Times New Roman"/>
        </w:rPr>
        <w:fldChar w:fldCharType="separate"/>
      </w:r>
      <w:r>
        <w:rPr>
          <w:rFonts w:ascii="Times New Roman" w:hAnsi="Times New Roman" w:cs="Times New Roman"/>
        </w:rPr>
        <w:t>68</w:t>
      </w:r>
      <w:r>
        <w:rPr>
          <w:rFonts w:ascii="Times New Roman" w:hAnsi="Times New Roman" w:cs="Times New Roman"/>
        </w:rPr>
        <w:fldChar w:fldCharType="end"/>
      </w:r>
      <w:r>
        <w:rPr>
          <w:rFonts w:ascii="Times New Roman" w:hAnsi="Times New Roman" w:cs="Times New Roman"/>
        </w:rPr>
        <w:fldChar w:fldCharType="end"/>
      </w:r>
    </w:p>
    <w:p w14:paraId="4494864D">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"_Toc216964776" </w:instrText>
      </w:r>
      <w:r>
        <w:fldChar w:fldCharType="separate"/>
      </w:r>
      <w:r>
        <w:rPr>
          <w:rStyle w:val="28"/>
          <w:rFonts w:ascii="Times New Roman" w:hAnsi="Times New Roman" w:cs="Times New Roman"/>
        </w:rPr>
        <w:t>（六）推进数字孪生工程建设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_Toc216964776 \h </w:instrText>
      </w:r>
      <w:r>
        <w:rPr>
          <w:rFonts w:ascii="Times New Roman" w:hAnsi="Times New Roman" w:cs="Times New Roman"/>
        </w:rPr>
        <w:fldChar w:fldCharType="separate"/>
      </w:r>
      <w:r>
        <w:rPr>
          <w:rFonts w:ascii="Times New Roman" w:hAnsi="Times New Roman" w:cs="Times New Roman"/>
        </w:rPr>
        <w:t>69</w:t>
      </w:r>
      <w:r>
        <w:rPr>
          <w:rFonts w:ascii="Times New Roman" w:hAnsi="Times New Roman" w:cs="Times New Roman"/>
        </w:rPr>
        <w:fldChar w:fldCharType="end"/>
      </w:r>
      <w:r>
        <w:rPr>
          <w:rFonts w:ascii="Times New Roman" w:hAnsi="Times New Roman" w:cs="Times New Roman"/>
        </w:rPr>
        <w:fldChar w:fldCharType="end"/>
      </w:r>
    </w:p>
    <w:p w14:paraId="790DD3C5">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"_Toc216964777" </w:instrText>
      </w:r>
      <w:r>
        <w:fldChar w:fldCharType="separate"/>
      </w:r>
      <w:r>
        <w:rPr>
          <w:rStyle w:val="28"/>
          <w:rFonts w:ascii="Times New Roman" w:hAnsi="Times New Roman" w:cs="Times New Roman"/>
        </w:rPr>
        <w:t>八、推动水网高质量发展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_Toc216964777 \h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fldChar w:fldCharType="end"/>
      </w:r>
    </w:p>
    <w:p w14:paraId="12FA858D">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"_Toc216964778" </w:instrText>
      </w:r>
      <w:r>
        <w:fldChar w:fldCharType="separate"/>
      </w:r>
      <w:r>
        <w:rPr>
          <w:rStyle w:val="28"/>
          <w:rFonts w:ascii="Times New Roman" w:hAnsi="Times New Roman" w:cs="Times New Roman"/>
        </w:rPr>
        <w:t>（一）推进安全发展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_Toc216964778 \h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fldChar w:fldCharType="end"/>
      </w:r>
    </w:p>
    <w:p w14:paraId="38F431CA">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"_Toc216964779" </w:instrText>
      </w:r>
      <w:r>
        <w:fldChar w:fldCharType="separate"/>
      </w:r>
      <w:r>
        <w:rPr>
          <w:rStyle w:val="28"/>
          <w:rFonts w:ascii="Times New Roman" w:hAnsi="Times New Roman" w:cs="Times New Roman"/>
        </w:rPr>
        <w:t>（二）推动绿色发展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_Toc216964779 \h </w:instrText>
      </w:r>
      <w:r>
        <w:rPr>
          <w:rFonts w:ascii="Times New Roman" w:hAnsi="Times New Roman" w:cs="Times New Roman"/>
        </w:rPr>
        <w:fldChar w:fldCharType="separate"/>
      </w:r>
      <w:r>
        <w:rPr>
          <w:rFonts w:ascii="Times New Roman" w:hAnsi="Times New Roman" w:cs="Times New Roman"/>
        </w:rPr>
        <w:t>72</w:t>
      </w:r>
      <w:r>
        <w:rPr>
          <w:rFonts w:ascii="Times New Roman" w:hAnsi="Times New Roman" w:cs="Times New Roman"/>
        </w:rPr>
        <w:fldChar w:fldCharType="end"/>
      </w:r>
      <w:r>
        <w:rPr>
          <w:rFonts w:ascii="Times New Roman" w:hAnsi="Times New Roman" w:cs="Times New Roman"/>
        </w:rPr>
        <w:fldChar w:fldCharType="end"/>
      </w:r>
    </w:p>
    <w:p w14:paraId="73051748">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"_Toc216964780" </w:instrText>
      </w:r>
      <w:r>
        <w:fldChar w:fldCharType="separate"/>
      </w:r>
      <w:r>
        <w:rPr>
          <w:rStyle w:val="28"/>
          <w:rFonts w:ascii="Times New Roman" w:hAnsi="Times New Roman" w:cs="Times New Roman"/>
        </w:rPr>
        <w:t>（三）统筹融合发展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_Toc216964780 \h </w:instrText>
      </w:r>
      <w:r>
        <w:rPr>
          <w:rFonts w:ascii="Times New Roman" w:hAnsi="Times New Roman" w:cs="Times New Roman"/>
        </w:rPr>
        <w:fldChar w:fldCharType="separate"/>
      </w:r>
      <w:r>
        <w:rPr>
          <w:rFonts w:ascii="Times New Roman" w:hAnsi="Times New Roman" w:cs="Times New Roman"/>
        </w:rPr>
        <w:t>73</w:t>
      </w:r>
      <w:r>
        <w:rPr>
          <w:rFonts w:ascii="Times New Roman" w:hAnsi="Times New Roman" w:cs="Times New Roman"/>
        </w:rPr>
        <w:fldChar w:fldCharType="end"/>
      </w:r>
      <w:r>
        <w:rPr>
          <w:rFonts w:ascii="Times New Roman" w:hAnsi="Times New Roman" w:cs="Times New Roman"/>
        </w:rPr>
        <w:fldChar w:fldCharType="end"/>
      </w:r>
    </w:p>
    <w:p w14:paraId="21C72768">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"_Toc216964781" </w:instrText>
      </w:r>
      <w:r>
        <w:fldChar w:fldCharType="separate"/>
      </w:r>
      <w:r>
        <w:rPr>
          <w:rStyle w:val="28"/>
          <w:rFonts w:ascii="Times New Roman" w:hAnsi="Times New Roman" w:cs="Times New Roman"/>
        </w:rPr>
        <w:t>（四）完善体制机制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_Toc216964781 \h </w:instrText>
      </w:r>
      <w:r>
        <w:rPr>
          <w:rFonts w:ascii="Times New Roman" w:hAnsi="Times New Roman" w:cs="Times New Roman"/>
        </w:rPr>
        <w:fldChar w:fldCharType="separate"/>
      </w:r>
      <w:r>
        <w:rPr>
          <w:rFonts w:ascii="Times New Roman" w:hAnsi="Times New Roman" w:cs="Times New Roman"/>
        </w:rPr>
        <w:t>75</w:t>
      </w:r>
      <w:r>
        <w:rPr>
          <w:rFonts w:ascii="Times New Roman" w:hAnsi="Times New Roman" w:cs="Times New Roman"/>
        </w:rPr>
        <w:fldChar w:fldCharType="end"/>
      </w:r>
      <w:r>
        <w:rPr>
          <w:rFonts w:ascii="Times New Roman" w:hAnsi="Times New Roman" w:cs="Times New Roman"/>
        </w:rPr>
        <w:fldChar w:fldCharType="end"/>
      </w:r>
    </w:p>
    <w:p w14:paraId="5CD40C2B">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"_Toc216964782" </w:instrText>
      </w:r>
      <w:r>
        <w:fldChar w:fldCharType="separate"/>
      </w:r>
      <w:r>
        <w:rPr>
          <w:rStyle w:val="28"/>
          <w:rFonts w:ascii="Times New Roman" w:hAnsi="Times New Roman" w:cs="Times New Roman"/>
        </w:rPr>
        <w:t>九、投资匡算与实施安排</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_Toc216964782 \h </w:instrText>
      </w:r>
      <w:r>
        <w:rPr>
          <w:rFonts w:ascii="Times New Roman" w:hAnsi="Times New Roman" w:cs="Times New Roman"/>
        </w:rPr>
        <w:fldChar w:fldCharType="separate"/>
      </w:r>
      <w:r>
        <w:rPr>
          <w:rFonts w:ascii="Times New Roman" w:hAnsi="Times New Roman" w:cs="Times New Roman"/>
        </w:rPr>
        <w:t>80</w:t>
      </w:r>
      <w:r>
        <w:rPr>
          <w:rFonts w:ascii="Times New Roman" w:hAnsi="Times New Roman" w:cs="Times New Roman"/>
        </w:rPr>
        <w:fldChar w:fldCharType="end"/>
      </w:r>
      <w:r>
        <w:rPr>
          <w:rFonts w:ascii="Times New Roman" w:hAnsi="Times New Roman" w:cs="Times New Roman"/>
        </w:rPr>
        <w:fldChar w:fldCharType="end"/>
      </w:r>
    </w:p>
    <w:p w14:paraId="07B2E0D9">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"_Toc216964783" </w:instrText>
      </w:r>
      <w:r>
        <w:fldChar w:fldCharType="separate"/>
      </w:r>
      <w:r>
        <w:rPr>
          <w:rStyle w:val="28"/>
          <w:rFonts w:ascii="Times New Roman" w:hAnsi="Times New Roman" w:cs="Times New Roman"/>
        </w:rPr>
        <w:t>（一）投资匡算</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_Toc216964783 \h </w:instrText>
      </w:r>
      <w:r>
        <w:rPr>
          <w:rFonts w:ascii="Times New Roman" w:hAnsi="Times New Roman" w:cs="Times New Roman"/>
        </w:rPr>
        <w:fldChar w:fldCharType="separate"/>
      </w:r>
      <w:r>
        <w:rPr>
          <w:rFonts w:ascii="Times New Roman" w:hAnsi="Times New Roman" w:cs="Times New Roman"/>
        </w:rPr>
        <w:t>80</w:t>
      </w:r>
      <w:r>
        <w:rPr>
          <w:rFonts w:ascii="Times New Roman" w:hAnsi="Times New Roman" w:cs="Times New Roman"/>
        </w:rPr>
        <w:fldChar w:fldCharType="end"/>
      </w:r>
      <w:r>
        <w:rPr>
          <w:rFonts w:ascii="Times New Roman" w:hAnsi="Times New Roman" w:cs="Times New Roman"/>
        </w:rPr>
        <w:fldChar w:fldCharType="end"/>
      </w:r>
    </w:p>
    <w:p w14:paraId="71550885">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"_Toc216964784" </w:instrText>
      </w:r>
      <w:r>
        <w:fldChar w:fldCharType="separate"/>
      </w:r>
      <w:r>
        <w:rPr>
          <w:rStyle w:val="28"/>
          <w:rFonts w:ascii="Times New Roman" w:hAnsi="Times New Roman" w:cs="Times New Roman"/>
        </w:rPr>
        <w:t>（二）实施安排</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_Toc216964784 \h </w:instrText>
      </w:r>
      <w:r>
        <w:rPr>
          <w:rFonts w:ascii="Times New Roman" w:hAnsi="Times New Roman" w:cs="Times New Roman"/>
        </w:rPr>
        <w:fldChar w:fldCharType="separate"/>
      </w:r>
      <w:r>
        <w:rPr>
          <w:rFonts w:ascii="Times New Roman" w:hAnsi="Times New Roman" w:cs="Times New Roman"/>
        </w:rPr>
        <w:t>80</w:t>
      </w:r>
      <w:r>
        <w:rPr>
          <w:rFonts w:ascii="Times New Roman" w:hAnsi="Times New Roman" w:cs="Times New Roman"/>
        </w:rPr>
        <w:fldChar w:fldCharType="end"/>
      </w:r>
      <w:r>
        <w:rPr>
          <w:rFonts w:ascii="Times New Roman" w:hAnsi="Times New Roman" w:cs="Times New Roman"/>
        </w:rPr>
        <w:fldChar w:fldCharType="end"/>
      </w:r>
    </w:p>
    <w:p w14:paraId="0C50D92A">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"_Toc216964785" </w:instrText>
      </w:r>
      <w:r>
        <w:fldChar w:fldCharType="separate"/>
      </w:r>
      <w:r>
        <w:rPr>
          <w:rStyle w:val="28"/>
          <w:rFonts w:ascii="Times New Roman" w:hAnsi="Times New Roman" w:cs="Times New Roman"/>
        </w:rPr>
        <w:t>十、环境影响评价</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_Toc216964785 \h </w:instrText>
      </w:r>
      <w:r>
        <w:rPr>
          <w:rFonts w:ascii="Times New Roman" w:hAnsi="Times New Roman" w:cs="Times New Roman"/>
        </w:rPr>
        <w:fldChar w:fldCharType="separate"/>
      </w:r>
      <w:r>
        <w:rPr>
          <w:rFonts w:ascii="Times New Roman" w:hAnsi="Times New Roman" w:cs="Times New Roman"/>
        </w:rPr>
        <w:t>82</w:t>
      </w:r>
      <w:r>
        <w:rPr>
          <w:rFonts w:ascii="Times New Roman" w:hAnsi="Times New Roman" w:cs="Times New Roman"/>
        </w:rPr>
        <w:fldChar w:fldCharType="end"/>
      </w:r>
      <w:r>
        <w:rPr>
          <w:rFonts w:ascii="Times New Roman" w:hAnsi="Times New Roman" w:cs="Times New Roman"/>
        </w:rPr>
        <w:fldChar w:fldCharType="end"/>
      </w:r>
    </w:p>
    <w:p w14:paraId="55FABB2E">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"_Toc216964786" </w:instrText>
      </w:r>
      <w:r>
        <w:fldChar w:fldCharType="separate"/>
      </w:r>
      <w:r>
        <w:rPr>
          <w:rStyle w:val="28"/>
          <w:rFonts w:ascii="Times New Roman" w:hAnsi="Times New Roman" w:cs="Times New Roman"/>
        </w:rPr>
        <w:t>（一）环境保护现状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_Toc216964786 \h </w:instrText>
      </w:r>
      <w:r>
        <w:rPr>
          <w:rFonts w:ascii="Times New Roman" w:hAnsi="Times New Roman" w:cs="Times New Roman"/>
        </w:rPr>
        <w:fldChar w:fldCharType="separate"/>
      </w:r>
      <w:r>
        <w:rPr>
          <w:rFonts w:ascii="Times New Roman" w:hAnsi="Times New Roman" w:cs="Times New Roman"/>
        </w:rPr>
        <w:t>82</w:t>
      </w:r>
      <w:r>
        <w:rPr>
          <w:rFonts w:ascii="Times New Roman" w:hAnsi="Times New Roman" w:cs="Times New Roman"/>
        </w:rPr>
        <w:fldChar w:fldCharType="end"/>
      </w:r>
      <w:r>
        <w:rPr>
          <w:rFonts w:ascii="Times New Roman" w:hAnsi="Times New Roman" w:cs="Times New Roman"/>
        </w:rPr>
        <w:fldChar w:fldCharType="end"/>
      </w:r>
    </w:p>
    <w:p w14:paraId="12767B32">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"_Toc216964787" </w:instrText>
      </w:r>
      <w:r>
        <w:fldChar w:fldCharType="separate"/>
      </w:r>
      <w:r>
        <w:rPr>
          <w:rStyle w:val="28"/>
          <w:rFonts w:ascii="Times New Roman" w:hAnsi="Times New Roman" w:cs="Times New Roman"/>
        </w:rPr>
        <w:t>（二）环境保护要求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_Toc216964787 \h </w:instrText>
      </w:r>
      <w:r>
        <w:rPr>
          <w:rFonts w:ascii="Times New Roman" w:hAnsi="Times New Roman" w:cs="Times New Roman"/>
        </w:rPr>
        <w:fldChar w:fldCharType="separate"/>
      </w:r>
      <w:r>
        <w:rPr>
          <w:rFonts w:ascii="Times New Roman" w:hAnsi="Times New Roman" w:cs="Times New Roman"/>
        </w:rPr>
        <w:t>82</w:t>
      </w:r>
      <w:r>
        <w:rPr>
          <w:rFonts w:ascii="Times New Roman" w:hAnsi="Times New Roman" w:cs="Times New Roman"/>
        </w:rPr>
        <w:fldChar w:fldCharType="end"/>
      </w:r>
      <w:r>
        <w:rPr>
          <w:rFonts w:ascii="Times New Roman" w:hAnsi="Times New Roman" w:cs="Times New Roman"/>
        </w:rPr>
        <w:fldChar w:fldCharType="end"/>
      </w:r>
    </w:p>
    <w:p w14:paraId="476FDCD5">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"_Toc216964788" </w:instrText>
      </w:r>
      <w:r>
        <w:fldChar w:fldCharType="separate"/>
      </w:r>
      <w:r>
        <w:rPr>
          <w:rStyle w:val="28"/>
          <w:rFonts w:ascii="Times New Roman" w:hAnsi="Times New Roman" w:cs="Times New Roman"/>
        </w:rPr>
        <w:t>（三）规划符合性分析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_Toc216964788 \h </w:instrText>
      </w:r>
      <w:r>
        <w:rPr>
          <w:rFonts w:ascii="Times New Roman" w:hAnsi="Times New Roman" w:cs="Times New Roman"/>
        </w:rPr>
        <w:fldChar w:fldCharType="separate"/>
      </w:r>
      <w:r>
        <w:rPr>
          <w:rFonts w:ascii="Times New Roman" w:hAnsi="Times New Roman" w:cs="Times New Roman"/>
        </w:rPr>
        <w:t>84</w:t>
      </w:r>
      <w:r>
        <w:rPr>
          <w:rFonts w:ascii="Times New Roman" w:hAnsi="Times New Roman" w:cs="Times New Roman"/>
        </w:rPr>
        <w:fldChar w:fldCharType="end"/>
      </w:r>
      <w:r>
        <w:rPr>
          <w:rFonts w:ascii="Times New Roman" w:hAnsi="Times New Roman" w:cs="Times New Roman"/>
        </w:rPr>
        <w:fldChar w:fldCharType="end"/>
      </w:r>
    </w:p>
    <w:p w14:paraId="19D30095">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"_Toc216964789" </w:instrText>
      </w:r>
      <w:r>
        <w:fldChar w:fldCharType="separate"/>
      </w:r>
      <w:r>
        <w:rPr>
          <w:rStyle w:val="28"/>
          <w:rFonts w:ascii="Times New Roman" w:hAnsi="Times New Roman" w:cs="Times New Roman"/>
        </w:rPr>
        <w:t>（四）主要环境影响预测与分析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_Toc216964789 \h </w:instrText>
      </w:r>
      <w:r>
        <w:rPr>
          <w:rFonts w:ascii="Times New Roman" w:hAnsi="Times New Roman" w:cs="Times New Roman"/>
        </w:rPr>
        <w:fldChar w:fldCharType="separate"/>
      </w:r>
      <w:r>
        <w:rPr>
          <w:rFonts w:ascii="Times New Roman" w:hAnsi="Times New Roman" w:cs="Times New Roman"/>
        </w:rPr>
        <w:t>86</w:t>
      </w:r>
      <w:r>
        <w:rPr>
          <w:rFonts w:ascii="Times New Roman" w:hAnsi="Times New Roman" w:cs="Times New Roman"/>
        </w:rPr>
        <w:fldChar w:fldCharType="end"/>
      </w:r>
      <w:r>
        <w:rPr>
          <w:rFonts w:ascii="Times New Roman" w:hAnsi="Times New Roman" w:cs="Times New Roman"/>
        </w:rPr>
        <w:fldChar w:fldCharType="end"/>
      </w:r>
    </w:p>
    <w:p w14:paraId="01B774D0">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"_Toc216964790" </w:instrText>
      </w:r>
      <w:r>
        <w:fldChar w:fldCharType="separate"/>
      </w:r>
      <w:r>
        <w:rPr>
          <w:rStyle w:val="28"/>
          <w:rFonts w:ascii="Times New Roman" w:hAnsi="Times New Roman" w:cs="Times New Roman"/>
        </w:rPr>
        <w:t>（五）规划合理性分析和优化调整建议</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_Toc216964790 \h </w:instrText>
      </w:r>
      <w:r>
        <w:rPr>
          <w:rFonts w:ascii="Times New Roman" w:hAnsi="Times New Roman" w:cs="Times New Roman"/>
        </w:rPr>
        <w:fldChar w:fldCharType="separate"/>
      </w:r>
      <w:r>
        <w:rPr>
          <w:rFonts w:ascii="Times New Roman" w:hAnsi="Times New Roman" w:cs="Times New Roman"/>
        </w:rPr>
        <w:t>88</w:t>
      </w:r>
      <w:r>
        <w:rPr>
          <w:rFonts w:ascii="Times New Roman" w:hAnsi="Times New Roman" w:cs="Times New Roman"/>
        </w:rPr>
        <w:fldChar w:fldCharType="end"/>
      </w:r>
      <w:r>
        <w:rPr>
          <w:rFonts w:ascii="Times New Roman" w:hAnsi="Times New Roman" w:cs="Times New Roman"/>
        </w:rPr>
        <w:fldChar w:fldCharType="end"/>
      </w:r>
    </w:p>
    <w:p w14:paraId="1E11AC8E">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"_Toc216964791" </w:instrText>
      </w:r>
      <w:r>
        <w:fldChar w:fldCharType="separate"/>
      </w:r>
      <w:r>
        <w:rPr>
          <w:rStyle w:val="28"/>
          <w:rFonts w:ascii="Times New Roman" w:hAnsi="Times New Roman" w:cs="Times New Roman"/>
        </w:rPr>
        <w:t>（六）环境影响减缓对策措施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_Toc216964791 \h </w:instrText>
      </w:r>
      <w:r>
        <w:rPr>
          <w:rFonts w:ascii="Times New Roman" w:hAnsi="Times New Roman" w:cs="Times New Roman"/>
        </w:rPr>
        <w:fldChar w:fldCharType="separate"/>
      </w:r>
      <w:r>
        <w:rPr>
          <w:rFonts w:ascii="Times New Roman" w:hAnsi="Times New Roman" w:cs="Times New Roman"/>
        </w:rPr>
        <w:t>90</w:t>
      </w:r>
      <w:r>
        <w:rPr>
          <w:rFonts w:ascii="Times New Roman" w:hAnsi="Times New Roman" w:cs="Times New Roman"/>
        </w:rPr>
        <w:fldChar w:fldCharType="end"/>
      </w:r>
      <w:r>
        <w:rPr>
          <w:rFonts w:ascii="Times New Roman" w:hAnsi="Times New Roman" w:cs="Times New Roman"/>
        </w:rPr>
        <w:fldChar w:fldCharType="end"/>
      </w:r>
    </w:p>
    <w:p w14:paraId="3F8FDA82">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"_Toc216964792" </w:instrText>
      </w:r>
      <w:r>
        <w:fldChar w:fldCharType="separate"/>
      </w:r>
      <w:r>
        <w:rPr>
          <w:rStyle w:val="28"/>
          <w:rFonts w:ascii="Times New Roman" w:hAnsi="Times New Roman" w:cs="Times New Roman"/>
        </w:rPr>
        <w:t>（七）综合评价结论</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_Toc216964792 \h </w:instrText>
      </w:r>
      <w:r>
        <w:rPr>
          <w:rFonts w:ascii="Times New Roman" w:hAnsi="Times New Roman" w:cs="Times New Roman"/>
        </w:rPr>
        <w:fldChar w:fldCharType="separate"/>
      </w:r>
      <w:r>
        <w:rPr>
          <w:rFonts w:ascii="Times New Roman" w:hAnsi="Times New Roman" w:cs="Times New Roman"/>
        </w:rPr>
        <w:t>91</w:t>
      </w:r>
      <w:r>
        <w:rPr>
          <w:rFonts w:ascii="Times New Roman" w:hAnsi="Times New Roman" w:cs="Times New Roman"/>
        </w:rPr>
        <w:fldChar w:fldCharType="end"/>
      </w:r>
      <w:r>
        <w:rPr>
          <w:rFonts w:ascii="Times New Roman" w:hAnsi="Times New Roman" w:cs="Times New Roman"/>
        </w:rPr>
        <w:fldChar w:fldCharType="end"/>
      </w:r>
    </w:p>
    <w:p w14:paraId="7A4CFE83">
      <w:pPr>
        <w:pStyle w:val="16"/>
        <w:tabs>
          <w:tab w:val="right" w:leader="dot" w:pos="9060"/>
        </w:tabs>
        <w:rPr>
          <w:rFonts w:ascii="Times New Roman" w:hAnsi="Times New Roman" w:cs="Times New Roman" w:eastAsiaTheme="minorEastAsia"/>
          <w:sz w:val="22"/>
          <w:szCs w:val="24"/>
          <w14:ligatures w14:val="standardContextual"/>
        </w:rPr>
      </w:pPr>
      <w:r>
        <w:fldChar w:fldCharType="begin"/>
      </w:r>
      <w:r>
        <w:instrText xml:space="preserve"> HYPERLINK \l "_Toc216964793" </w:instrText>
      </w:r>
      <w:r>
        <w:fldChar w:fldCharType="separate"/>
      </w:r>
      <w:r>
        <w:rPr>
          <w:rStyle w:val="28"/>
          <w:rFonts w:ascii="Times New Roman" w:hAnsi="Times New Roman" w:cs="Times New Roman"/>
        </w:rPr>
        <w:t>十一、保障措施与实施效果评价</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_Toc216964793 \h </w:instrText>
      </w:r>
      <w:r>
        <w:rPr>
          <w:rFonts w:ascii="Times New Roman" w:hAnsi="Times New Roman" w:cs="Times New Roman"/>
        </w:rPr>
        <w:fldChar w:fldCharType="separate"/>
      </w:r>
      <w:r>
        <w:rPr>
          <w:rFonts w:ascii="Times New Roman" w:hAnsi="Times New Roman" w:cs="Times New Roman"/>
        </w:rPr>
        <w:t>92</w:t>
      </w:r>
      <w:r>
        <w:rPr>
          <w:rFonts w:ascii="Times New Roman" w:hAnsi="Times New Roman" w:cs="Times New Roman"/>
        </w:rPr>
        <w:fldChar w:fldCharType="end"/>
      </w:r>
      <w:r>
        <w:rPr>
          <w:rFonts w:ascii="Times New Roman" w:hAnsi="Times New Roman" w:cs="Times New Roman"/>
        </w:rPr>
        <w:fldChar w:fldCharType="end"/>
      </w:r>
    </w:p>
    <w:p w14:paraId="0E49941A">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"_Toc216964794" </w:instrText>
      </w:r>
      <w:r>
        <w:fldChar w:fldCharType="separate"/>
      </w:r>
      <w:r>
        <w:rPr>
          <w:rStyle w:val="28"/>
          <w:rFonts w:ascii="Times New Roman" w:hAnsi="Times New Roman" w:cs="Times New Roman"/>
        </w:rPr>
        <w:t>（一）保障措施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_Toc216964794 \h </w:instrText>
      </w:r>
      <w:r>
        <w:rPr>
          <w:rFonts w:ascii="Times New Roman" w:hAnsi="Times New Roman" w:cs="Times New Roman"/>
        </w:rPr>
        <w:fldChar w:fldCharType="separate"/>
      </w:r>
      <w:r>
        <w:rPr>
          <w:rFonts w:ascii="Times New Roman" w:hAnsi="Times New Roman" w:cs="Times New Roman"/>
        </w:rPr>
        <w:t>92</w:t>
      </w:r>
      <w:r>
        <w:rPr>
          <w:rFonts w:ascii="Times New Roman" w:hAnsi="Times New Roman" w:cs="Times New Roman"/>
        </w:rPr>
        <w:fldChar w:fldCharType="end"/>
      </w:r>
      <w:r>
        <w:rPr>
          <w:rFonts w:ascii="Times New Roman" w:hAnsi="Times New Roman" w:cs="Times New Roman"/>
        </w:rPr>
        <w:fldChar w:fldCharType="end"/>
      </w:r>
    </w:p>
    <w:p w14:paraId="65C6AE16">
      <w:pPr>
        <w:pStyle w:val="18"/>
        <w:tabs>
          <w:tab w:val="right" w:leader="dot" w:pos="9060"/>
        </w:tabs>
        <w:ind w:left="400"/>
        <w:rPr>
          <w:rFonts w:ascii="Times New Roman" w:hAnsi="Times New Roman" w:cs="Times New Roman" w:eastAsiaTheme="minorEastAsia"/>
          <w:sz w:val="22"/>
          <w:szCs w:val="24"/>
          <w14:ligatures w14:val="standardContextual"/>
        </w:rPr>
      </w:pPr>
      <w:r>
        <w:fldChar w:fldCharType="begin"/>
      </w:r>
      <w:r>
        <w:instrText xml:space="preserve"> HYPERLINK \l "_Toc216964795" </w:instrText>
      </w:r>
      <w:r>
        <w:fldChar w:fldCharType="separate"/>
      </w:r>
      <w:r>
        <w:rPr>
          <w:rStyle w:val="28"/>
          <w:rFonts w:ascii="Times New Roman" w:hAnsi="Times New Roman" w:cs="Times New Roman"/>
          <w:bCs/>
          <w:lang w:val="zh-CN"/>
        </w:rPr>
        <w:t>（二）实施效果评价</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_Toc216964795 \h </w:instrText>
      </w:r>
      <w:r>
        <w:rPr>
          <w:rFonts w:ascii="Times New Roman" w:hAnsi="Times New Roman" w:cs="Times New Roman"/>
        </w:rPr>
        <w:fldChar w:fldCharType="separate"/>
      </w:r>
      <w:r>
        <w:rPr>
          <w:rFonts w:ascii="Times New Roman" w:hAnsi="Times New Roman" w:cs="Times New Roman"/>
        </w:rPr>
        <w:t>93</w:t>
      </w:r>
      <w:r>
        <w:rPr>
          <w:rFonts w:ascii="Times New Roman" w:hAnsi="Times New Roman" w:cs="Times New Roman"/>
        </w:rPr>
        <w:fldChar w:fldCharType="end"/>
      </w:r>
      <w:r>
        <w:rPr>
          <w:rFonts w:ascii="Times New Roman" w:hAnsi="Times New Roman" w:cs="Times New Roman"/>
        </w:rPr>
        <w:fldChar w:fldCharType="end"/>
      </w:r>
    </w:p>
    <w:p w14:paraId="2B0C1401">
      <w:pPr>
        <w:pStyle w:val="18"/>
        <w:tabs>
          <w:tab w:val="right" w:leader="dot" w:pos="9070"/>
        </w:tabs>
        <w:ind w:left="400"/>
        <w:rPr>
          <w:rFonts w:ascii="Times New Roman" w:hAnsi="Times New Roman" w:cs="Times New Roman"/>
          <w:b/>
          <w:sz w:val="28"/>
          <w:szCs w:val="21"/>
        </w:rPr>
      </w:pPr>
      <w:r>
        <w:rPr>
          <w:rFonts w:ascii="Times New Roman" w:hAnsi="Times New Roman" w:cs="Times New Roman"/>
          <w:sz w:val="28"/>
          <w:szCs w:val="21"/>
        </w:rPr>
        <w:fldChar w:fldCharType="end"/>
      </w:r>
    </w:p>
    <w:p w14:paraId="6206F9BB">
      <w:pPr>
        <w:pStyle w:val="82"/>
        <w:ind w:firstLine="651"/>
        <w:jc w:val="center"/>
        <w:rPr>
          <w:b/>
        </w:rPr>
      </w:pPr>
    </w:p>
    <w:p w14:paraId="42550D3C">
      <w:pPr>
        <w:pStyle w:val="82"/>
        <w:ind w:firstLine="651"/>
        <w:jc w:val="center"/>
        <w:rPr>
          <w:b/>
        </w:rPr>
        <w:sectPr>
          <w:headerReference r:id="rId5" w:type="default"/>
          <w:footerReference r:id="rId6" w:type="default"/>
          <w:pgSz w:w="11906" w:h="16838"/>
          <w:pgMar w:top="1418" w:right="1418" w:bottom="1418" w:left="1418" w:header="851" w:footer="992" w:gutter="0"/>
          <w:pgNumType w:fmt="upperRoman" w:start="1"/>
          <w:cols w:space="425" w:num="1"/>
          <w:docGrid w:type="lines" w:linePitch="312" w:charSpace="0"/>
        </w:sectPr>
      </w:pPr>
    </w:p>
    <w:p w14:paraId="13DC73B8">
      <w:pPr>
        <w:pStyle w:val="208"/>
        <w:rPr>
          <w:rFonts w:hint="eastAsia"/>
        </w:rPr>
      </w:pPr>
      <w:bookmarkStart w:id="4" w:name="_Toc216964737"/>
      <w:r>
        <w:rPr>
          <w:rFonts w:hint="eastAsia"/>
        </w:rPr>
        <w:t>一、建设基础与面临形势</w:t>
      </w:r>
      <w:bookmarkEnd w:id="4"/>
    </w:p>
    <w:p w14:paraId="2DF71F9B">
      <w:pPr>
        <w:pStyle w:val="34"/>
      </w:pPr>
      <w:bookmarkStart w:id="5" w:name="_Toc216964738"/>
      <w:r>
        <w:rPr>
          <w:rFonts w:hint="eastAsia"/>
        </w:rPr>
        <w:t>（一）基本市情</w:t>
      </w:r>
      <w:bookmarkEnd w:id="5"/>
    </w:p>
    <w:p w14:paraId="6C52478C">
      <w:pPr>
        <w:pStyle w:val="82"/>
        <w:ind w:firstLine="651"/>
      </w:pPr>
      <w:r>
        <w:rPr>
          <w:rFonts w:hint="eastAsia"/>
          <w:b/>
          <w:bCs/>
        </w:rPr>
        <w:t>东北部边境城市，口岸优势突出。</w:t>
      </w:r>
      <w:r>
        <w:t>额尔古纳市位于内蒙古自治区东北部、呼伦贝尔市北部，地理坐标北纬50°01′～53°26′、东经119°07′～121°49′，</w:t>
      </w:r>
      <w:r>
        <w:rPr>
          <w:rFonts w:hint="eastAsia"/>
        </w:rPr>
        <w:t>地处中、俄两国交界处，是内蒙古自治区纬度最高、中国最北的边境县级城市，边境线长673km。全市南北长约</w:t>
      </w:r>
      <w:r>
        <w:t>600km</w:t>
      </w:r>
      <w:r>
        <w:rPr>
          <w:rFonts w:hint="eastAsia"/>
        </w:rPr>
        <w:t>，东西宽（最窄地段）约</w:t>
      </w:r>
      <w:r>
        <w:t>50km</w:t>
      </w:r>
      <w:r>
        <w:rPr>
          <w:rFonts w:hint="eastAsia"/>
        </w:rPr>
        <w:t>，市辖区总面积</w:t>
      </w:r>
      <w:r>
        <w:t>2.8</w:t>
      </w:r>
      <w:r>
        <w:rPr>
          <w:rFonts w:hint="eastAsia"/>
        </w:rPr>
        <w:t>9万</w:t>
      </w:r>
      <w:r>
        <w:t>km</w:t>
      </w:r>
      <w:r>
        <w:rPr>
          <w:vertAlign w:val="superscript"/>
        </w:rPr>
        <w:t>2</w:t>
      </w:r>
      <w:r>
        <w:rPr>
          <w:rFonts w:hint="eastAsia"/>
        </w:rPr>
        <w:t>。</w:t>
      </w:r>
    </w:p>
    <w:p w14:paraId="177F4552">
      <w:pPr>
        <w:pStyle w:val="82"/>
        <w:ind w:firstLine="651"/>
      </w:pPr>
      <w:r>
        <w:rPr>
          <w:rFonts w:hint="eastAsia"/>
          <w:b/>
          <w:bCs/>
        </w:rPr>
        <w:t>地形地貌多样，山脉空间独特。</w:t>
      </w:r>
      <w:r>
        <w:rPr>
          <w:rFonts w:hint="eastAsia"/>
        </w:rPr>
        <w:t>额尔古纳市位于亚洲大陆中部，蒙古高原东缘，地处大兴安岭北段支脉的西坡。地形东高西低，中部高南北低，河流顺应其地形走势，由东部和中部向北、西、南三面分流。全市地形以丘陵为主，地块呈北东向延伸，长达1500km以上，是中亚—蒙古—兴安巨型复合造山带内的重要大地构造单元。境内最高点海拔高度1421m，最低点为恩和哈达河口西岸，海拔高度308m，两地高差达1113m。</w:t>
      </w:r>
    </w:p>
    <w:p w14:paraId="0147138E">
      <w:pPr>
        <w:pStyle w:val="82"/>
        <w:ind w:firstLine="651"/>
      </w:pPr>
      <w:r>
        <w:rPr>
          <w:rFonts w:hint="eastAsia"/>
          <w:b/>
          <w:bCs/>
        </w:rPr>
        <w:t>气候区域差异大，严寒气候显著。</w:t>
      </w:r>
      <w:r>
        <w:rPr>
          <w:rFonts w:hint="eastAsia"/>
        </w:rPr>
        <w:t>全市属寒温带大陆性季风气候，冬季漫长寒冷干燥，夏季短暂凉爽多雨，年均、日均温差大，无霜期短，光照充足，日照时数多，太阳总辐射量大。全市年平均气温为-3.2℃，≥10℃积温1664.1℃，极端最高气温36.6℃(1979年)，极端最低气温-46.2℃（1958年）；多年平均降水量389mm，降水量在年内分配不均匀，6~9月份降水量占全年降水量的78%；多年平均蒸发量为1010mm（20cm蒸发皿观测值）；无霜期84天。年日照2709小时，年平均风速3.0m/s。当地最大冻深为4.2m，每年10月14日左右开始冻结，4月22日左右开始融冻。</w:t>
      </w:r>
    </w:p>
    <w:p w14:paraId="736F3EE3">
      <w:pPr>
        <w:pStyle w:val="82"/>
        <w:ind w:firstLine="651"/>
      </w:pPr>
      <w:r>
        <w:rPr>
          <w:rFonts w:hint="eastAsia"/>
          <w:b/>
          <w:bCs/>
        </w:rPr>
        <w:t>林田湿地草丰富，资源禀赋优越。</w:t>
      </w:r>
      <w:r>
        <w:rPr>
          <w:rFonts w:hint="eastAsia"/>
        </w:rPr>
        <w:t>额尔古纳市是自治区重要的生态屏障组成部分。全市森林资源丰富，占全域面积的72%，主要分布于北部林区；草原资源丰厚，是呼伦贝尔大草原重要组成部分，尤以额尔古纳河流域水草肥美，储量丰富；额尔古纳湿地被誉为“亚洲第一湿地”，是中国保持原状态最完好、面积较大的湿地，地处大兴安岭西北侧，总面积为1260km</w:t>
      </w:r>
      <w:r>
        <w:rPr>
          <w:rFonts w:hint="eastAsia"/>
          <w:vertAlign w:val="superscript"/>
        </w:rPr>
        <w:t>2</w:t>
      </w:r>
      <w:r>
        <w:rPr>
          <w:rFonts w:hint="eastAsia"/>
        </w:rPr>
        <w:t>；生物资源种类丰富，种质标本达1000 余种，生物多样性强；农用地面积2.75万km</w:t>
      </w:r>
      <w:r>
        <w:rPr>
          <w:rFonts w:hint="eastAsia"/>
          <w:vertAlign w:val="superscript"/>
        </w:rPr>
        <w:t>2</w:t>
      </w:r>
      <w:r>
        <w:rPr>
          <w:rFonts w:hint="eastAsia"/>
        </w:rPr>
        <w:t>，约占全域面积的95%，其中耕地资源1884.8km</w:t>
      </w:r>
      <w:r>
        <w:rPr>
          <w:rFonts w:hint="eastAsia"/>
          <w:vertAlign w:val="superscript"/>
        </w:rPr>
        <w:t>2</w:t>
      </w:r>
      <w:r>
        <w:rPr>
          <w:rFonts w:hint="eastAsia"/>
        </w:rPr>
        <w:t>，占农用地面积6.8%。</w:t>
      </w:r>
    </w:p>
    <w:p w14:paraId="75794DB5">
      <w:pPr>
        <w:pStyle w:val="82"/>
        <w:ind w:firstLine="651"/>
      </w:pPr>
      <w:r>
        <w:rPr>
          <w:rFonts w:hint="eastAsia"/>
          <w:b/>
          <w:bCs/>
        </w:rPr>
        <w:t>经济社会地位重要，产业优势突出。</w:t>
      </w:r>
      <w:r>
        <w:rPr>
          <w:rFonts w:hint="eastAsia"/>
        </w:rPr>
        <w:t>额尔古纳市先后被评为“全国民族团结进步创建活动示范单位”“全国推进农业现代化优秀城市”“国家级风景名胜区”等。全市有额尔古纳国家级自然保护区、额尔古纳国家湿地公园、额尔古纳国家矿山公园和莫尔道嘎国家森林公园，5个乡镇入选“全国特色旅游景观名镇”，11个村评为“中国传统村落”。</w:t>
      </w:r>
    </w:p>
    <w:p w14:paraId="1EA6ADDB">
      <w:pPr>
        <w:pStyle w:val="82"/>
        <w:ind w:firstLine="648"/>
      </w:pPr>
      <w:r>
        <w:rPr>
          <w:rFonts w:hint="eastAsia"/>
        </w:rPr>
        <w:t>额尔古纳市辖1个苏木、3个乡、3个镇、2个街道办事处。截至2022年末，额尔古纳市地区生产总值完成50.29亿元，分产业看，第一产业增加值24.22亿元，增长5.5%；第二产业增加值7.30亿元，增长30.5%；第三产业增加值18.77亿元，增长1.4%；三次产业结构比为48.2:14.5:37.3。全市常住人口6.68万人，其中城镇人口5.38万人，农村人口1.30万人，城镇化率80.5%。根据额尔古纳市</w:t>
      </w:r>
      <w:bookmarkStart w:id="6" w:name="_Hlk184113232"/>
      <w:r>
        <w:rPr>
          <w:rFonts w:hint="eastAsia"/>
        </w:rPr>
        <w:t>国土变更调查</w:t>
      </w:r>
      <w:bookmarkEnd w:id="6"/>
      <w:r>
        <w:rPr>
          <w:rFonts w:hint="eastAsia"/>
        </w:rPr>
        <w:t>成果，</w:t>
      </w:r>
      <w:bookmarkStart w:id="7" w:name="_Hlk184113246"/>
      <w:r>
        <w:rPr>
          <w:rFonts w:hint="eastAsia"/>
        </w:rPr>
        <w:t>全市现有耕地282.72万亩、</w:t>
      </w:r>
      <w:bookmarkEnd w:id="7"/>
      <w:r>
        <w:rPr>
          <w:rFonts w:hint="eastAsia"/>
        </w:rPr>
        <w:t>草地545.71万亩、林地3135.3万亩。全年粮食作物总播面积80577公顷，比上年增长0.6%；全年粮食产量30万吨，同期增长1.1%。</w:t>
      </w:r>
    </w:p>
    <w:p w14:paraId="1F694F3E">
      <w:pPr>
        <w:pStyle w:val="34"/>
      </w:pPr>
      <w:bookmarkStart w:id="8" w:name="_Toc216964739"/>
      <w:r>
        <w:rPr>
          <w:rFonts w:hint="eastAsia"/>
        </w:rPr>
        <w:t>（二）水利基础设施建设现状</w:t>
      </w:r>
      <w:bookmarkEnd w:id="8"/>
    </w:p>
    <w:p w14:paraId="0C19AAB7">
      <w:pPr>
        <w:pStyle w:val="64"/>
      </w:pPr>
      <w:r>
        <w:rPr>
          <w:rFonts w:hint="eastAsia"/>
        </w:rPr>
        <w:t>1. 防洪减灾能力不断提升</w:t>
      </w:r>
    </w:p>
    <w:p w14:paraId="3E0FCF5A">
      <w:pPr>
        <w:pStyle w:val="82"/>
        <w:ind w:firstLine="651"/>
      </w:pPr>
      <w:r>
        <w:rPr>
          <w:rFonts w:hint="eastAsia"/>
          <w:b/>
        </w:rPr>
        <w:t>防洪减灾工程</w:t>
      </w:r>
      <w:r>
        <w:rPr>
          <w:b/>
        </w:rPr>
        <w:t>体系基本建立。</w:t>
      </w:r>
      <w:r>
        <w:rPr>
          <w:rFonts w:hint="eastAsia"/>
          <w:b/>
        </w:rPr>
        <w:t>通过堤防工程和河道治理工程</w:t>
      </w:r>
      <w:r>
        <w:rPr>
          <w:rFonts w:hint="eastAsia"/>
        </w:rPr>
        <w:t>建设，额尔古纳市基本形成了堤防护岸相结合的防洪减灾工程体系，工程分布在</w:t>
      </w:r>
      <w:r>
        <w:t>额尔古纳市区、莫尔道嘎镇、三河回族乡、恩和乡、</w:t>
      </w:r>
      <w:r>
        <w:rPr>
          <w:rFonts w:hint="eastAsia"/>
        </w:rPr>
        <w:t>临江</w:t>
      </w:r>
      <w:r>
        <w:t>村、下乌尔根村、</w:t>
      </w:r>
      <w:r>
        <w:rPr>
          <w:rFonts w:hint="eastAsia"/>
        </w:rPr>
        <w:t>小库力</w:t>
      </w:r>
      <w:r>
        <w:t>村、上库力村、黑山头</w:t>
      </w:r>
      <w:r>
        <w:rPr>
          <w:rFonts w:hint="eastAsia"/>
        </w:rPr>
        <w:t>镇。已建</w:t>
      </w:r>
      <w:r>
        <w:t>堤防40.72</w:t>
      </w:r>
      <w:r>
        <w:rPr>
          <w:rFonts w:hint="eastAsia"/>
        </w:rPr>
        <w:t>km，其中达标堤防长度</w:t>
      </w:r>
      <w:r>
        <w:t>39.42</w:t>
      </w:r>
      <w:r>
        <w:rPr>
          <w:rFonts w:hint="eastAsia"/>
        </w:rPr>
        <w:t>km，堤防达标率</w:t>
      </w:r>
      <w:r>
        <w:t>96.8</w:t>
      </w:r>
      <w:r>
        <w:rPr>
          <w:rFonts w:hint="eastAsia"/>
        </w:rPr>
        <w:t>%；已建</w:t>
      </w:r>
      <w:r>
        <w:t>护岸长度17.52km</w:t>
      </w:r>
      <w:r>
        <w:rPr>
          <w:rFonts w:hint="eastAsia"/>
        </w:rPr>
        <w:t>。</w:t>
      </w:r>
    </w:p>
    <w:p w14:paraId="4650F196">
      <w:pPr>
        <w:pStyle w:val="82"/>
        <w:ind w:firstLine="651"/>
      </w:pPr>
      <w:r>
        <w:rPr>
          <w:rFonts w:hint="eastAsia"/>
          <w:b/>
        </w:rPr>
        <w:t>主城区</w:t>
      </w:r>
      <w:r>
        <w:rPr>
          <w:b/>
        </w:rPr>
        <w:t>防洪</w:t>
      </w:r>
      <w:r>
        <w:rPr>
          <w:rFonts w:hint="eastAsia"/>
          <w:b/>
        </w:rPr>
        <w:t>能力不断提升，村镇</w:t>
      </w:r>
      <w:r>
        <w:rPr>
          <w:b/>
        </w:rPr>
        <w:t>防洪</w:t>
      </w:r>
      <w:r>
        <w:rPr>
          <w:rFonts w:hint="eastAsia"/>
          <w:b/>
        </w:rPr>
        <w:t>减灾</w:t>
      </w:r>
      <w:r>
        <w:rPr>
          <w:b/>
        </w:rPr>
        <w:t>能力</w:t>
      </w:r>
      <w:r>
        <w:rPr>
          <w:rFonts w:hint="eastAsia"/>
          <w:b/>
        </w:rPr>
        <w:t>得到</w:t>
      </w:r>
      <w:r>
        <w:rPr>
          <w:b/>
        </w:rPr>
        <w:t>改善。</w:t>
      </w:r>
      <w:r>
        <w:rPr>
          <w:rFonts w:hint="eastAsia"/>
        </w:rPr>
        <w:t>额尔古纳市</w:t>
      </w:r>
      <w:r>
        <w:t>主</w:t>
      </w:r>
      <w:r>
        <w:rPr>
          <w:rFonts w:hint="eastAsia"/>
        </w:rPr>
        <w:t>城区主要受根河及其</w:t>
      </w:r>
      <w:r>
        <w:t>支流洪水威胁，</w:t>
      </w:r>
      <w:r>
        <w:rPr>
          <w:rFonts w:hint="eastAsia"/>
        </w:rPr>
        <w:t>2013年对根河干流城区段进行治理，新建、加培堤防2.47km，防洪标准达到50年一遇，2021年对那尔莫</w:t>
      </w:r>
      <w:r>
        <w:t>格其河拉布大林</w:t>
      </w:r>
      <w:r>
        <w:rPr>
          <w:rFonts w:hint="eastAsia"/>
        </w:rPr>
        <w:t>街道城区部分</w:t>
      </w:r>
      <w:r>
        <w:t>河</w:t>
      </w:r>
      <w:r>
        <w:rPr>
          <w:rFonts w:hint="eastAsia"/>
        </w:rPr>
        <w:t>段进行了</w:t>
      </w:r>
      <w:r>
        <w:t>治理</w:t>
      </w:r>
      <w:r>
        <w:rPr>
          <w:rFonts w:hint="eastAsia"/>
        </w:rPr>
        <w:t>，治理河长</w:t>
      </w:r>
      <w:r>
        <w:t>3.8</w:t>
      </w:r>
      <w:r>
        <w:rPr>
          <w:rFonts w:hint="eastAsia"/>
        </w:rPr>
        <w:t>km，修建防洪堤防4</w:t>
      </w:r>
      <w:r>
        <w:t>.31</w:t>
      </w:r>
      <w:r>
        <w:rPr>
          <w:rFonts w:hint="eastAsia"/>
        </w:rPr>
        <w:t>km，河道疏浚3</w:t>
      </w:r>
      <w:r>
        <w:t>.02</w:t>
      </w:r>
      <w:r>
        <w:rPr>
          <w:rFonts w:hint="eastAsia"/>
        </w:rPr>
        <w:t>km。工程建设提高了主城区防洪能力</w:t>
      </w:r>
      <w:r>
        <w:t>。</w:t>
      </w:r>
      <w:r>
        <w:rPr>
          <w:rFonts w:hint="eastAsia"/>
        </w:rPr>
        <w:t>通过</w:t>
      </w:r>
      <w:r>
        <w:t>中小河流和山洪沟治理，</w:t>
      </w:r>
      <w:r>
        <w:rPr>
          <w:rFonts w:hint="eastAsia"/>
        </w:rPr>
        <w:t>受</w:t>
      </w:r>
      <w:r>
        <w:t>洪水威胁</w:t>
      </w:r>
      <w:r>
        <w:rPr>
          <w:rFonts w:hint="eastAsia"/>
        </w:rPr>
        <w:t>的村镇</w:t>
      </w:r>
      <w:r>
        <w:t>防洪减灾能力得到一定</w:t>
      </w:r>
      <w:r>
        <w:rPr>
          <w:rFonts w:hint="eastAsia"/>
        </w:rPr>
        <w:t>程度</w:t>
      </w:r>
      <w:r>
        <w:t>的改善。</w:t>
      </w:r>
    </w:p>
    <w:p w14:paraId="2F684468">
      <w:pPr>
        <w:pStyle w:val="82"/>
        <w:ind w:firstLine="651"/>
      </w:pPr>
      <w:r>
        <w:rPr>
          <w:rFonts w:hint="eastAsia"/>
          <w:b/>
        </w:rPr>
        <w:t>山洪灾害防治和监测预警系统逐步完善</w:t>
      </w:r>
      <w:r>
        <w:rPr>
          <w:b/>
        </w:rPr>
        <w:t>。</w:t>
      </w:r>
      <w:r>
        <w:rPr>
          <w:rFonts w:hint="eastAsia"/>
        </w:rPr>
        <w:t>额尔古纳市气象、水文、水利部门在全市范围内布设自动监测站57套、无线预警广播站30套，随着山洪灾害防治非工程措施建设的加快推进，山洪灾害防治监测系统、预警监测平台、群测群防体系等得到不断完善。</w:t>
      </w:r>
    </w:p>
    <w:p w14:paraId="2AD323F4">
      <w:pPr>
        <w:pStyle w:val="64"/>
      </w:pPr>
      <w:r>
        <w:rPr>
          <w:rFonts w:hint="eastAsia"/>
        </w:rPr>
        <w:t>2. 节水型社会建设成效显著</w:t>
      </w:r>
    </w:p>
    <w:p w14:paraId="2115D5DD">
      <w:pPr>
        <w:pStyle w:val="82"/>
        <w:ind w:firstLine="648"/>
      </w:pPr>
      <w:r>
        <w:rPr>
          <w:rFonts w:hint="eastAsia"/>
        </w:rPr>
        <w:t>额尔古纳市坚持节水优先，按照自治区、呼伦贝尔市节水行动实施方案要求，大力推广农业、工业、城镇等领域节水，提高水资源利用效率，完成了节水型城市建设，降低供水管网漏损率，强化节水监督管理，提高全民节水意识。</w:t>
      </w:r>
    </w:p>
    <w:p w14:paraId="7C1B0839">
      <w:pPr>
        <w:pStyle w:val="82"/>
        <w:ind w:firstLine="648"/>
      </w:pPr>
      <w:r>
        <w:rPr>
          <w:rFonts w:hint="eastAsia"/>
        </w:rPr>
        <w:t>额尔古纳市内无国家级、自治区级重点监控用水单位，市级重点监控的用水单位1家，为诚诚矿业有限公司选矿厂（属高耗水行业），已按照高耗水行业要求开展了矿业企业创建节水型企业工作，并授予“节水型工业企业”称号；已建立市级重点监控工业企业名录；5万亩以上大中型灌区已全部实施在线监控。城市公共供水管网漏损率为9.57％，农田灌溉水有效利用系数达0.628。目前已经建成国家级节水型社会达标县。</w:t>
      </w:r>
    </w:p>
    <w:p w14:paraId="103EBC97">
      <w:pPr>
        <w:pStyle w:val="64"/>
      </w:pPr>
      <w:r>
        <w:rPr>
          <w:rFonts w:hint="eastAsia"/>
        </w:rPr>
        <w:t>3. 城乡供水保障能力不断增强</w:t>
      </w:r>
    </w:p>
    <w:p w14:paraId="26597618">
      <w:pPr>
        <w:pStyle w:val="82"/>
        <w:ind w:firstLine="651"/>
      </w:pPr>
      <w:r>
        <w:rPr>
          <w:rFonts w:hint="eastAsia"/>
          <w:b/>
        </w:rPr>
        <w:t>供水工程建设加快推进</w:t>
      </w:r>
      <w:r>
        <w:rPr>
          <w:rFonts w:hint="eastAsia"/>
        </w:rPr>
        <w:t>。经过多年建设，额尔古纳市基本构建了“提水+机电井”工程相结合的供水保障体系。其中地表水工程仅为提水工程，无蓄水工程、引水工程和调水工程。截止2022年底，境内建有中型规模提水泵站共69座，提水能力28.1m</w:t>
      </w:r>
      <w:r>
        <w:rPr>
          <w:rFonts w:hint="eastAsia"/>
          <w:vertAlign w:val="superscript"/>
        </w:rPr>
        <w:t>3</w:t>
      </w:r>
      <w:r>
        <w:rPr>
          <w:rFonts w:hint="eastAsia"/>
        </w:rPr>
        <w:t>/s，规模以下泵站设计流量13.5 m</w:t>
      </w:r>
      <w:r>
        <w:rPr>
          <w:rFonts w:hint="eastAsia"/>
          <w:vertAlign w:val="superscript"/>
        </w:rPr>
        <w:t>3</w:t>
      </w:r>
      <w:r>
        <w:rPr>
          <w:rFonts w:hint="eastAsia"/>
        </w:rPr>
        <w:t>/s，并主要用于农田灌溉。额尔古纳市浅层地下水机电井总量共7906眼，其中规模以上机电井152眼，规模以下机电井7754眼。全市已建成中型灌区23处，设计灌溉面积143.83万亩，有效灌溉面积89.0万亩，2022年实际灌溉面积约57.1万亩。全市城镇生活污水处理厂1座，并建有中水回用设施，现状再生水利用量345万m</w:t>
      </w:r>
      <w:r>
        <w:rPr>
          <w:rFonts w:hint="eastAsia"/>
          <w:vertAlign w:val="superscript"/>
        </w:rPr>
        <w:t>3</w:t>
      </w:r>
      <w:r>
        <w:rPr>
          <w:rFonts w:hint="eastAsia"/>
        </w:rPr>
        <w:t>。</w:t>
      </w:r>
    </w:p>
    <w:p w14:paraId="383182E9">
      <w:pPr>
        <w:pStyle w:val="82"/>
        <w:ind w:firstLine="651"/>
      </w:pPr>
      <w:r>
        <w:rPr>
          <w:b/>
          <w:bCs/>
        </w:rPr>
        <w:t>城乡供水保障能力稳步提高。</w:t>
      </w:r>
      <w:r>
        <w:rPr>
          <w:rFonts w:hint="eastAsia"/>
        </w:rPr>
        <w:t>额尔古纳市中心城区以城区自来水厂管网延伸供水为主，大部分集镇区以规模化集中供水工程供水为主，农村地区则主要依靠小型集中供水工程和分散工程供水。中心城区仅1座供水厂，水源为地下水，水厂设计规模为1万m</w:t>
      </w:r>
      <w:r>
        <w:rPr>
          <w:rFonts w:hint="eastAsia"/>
          <w:vertAlign w:val="superscript"/>
        </w:rPr>
        <w:t>3</w:t>
      </w:r>
      <w:r>
        <w:rPr>
          <w:rFonts w:hint="eastAsia"/>
        </w:rPr>
        <w:t>/d，近年来实际供水规模0.3~0.5m</w:t>
      </w:r>
      <w:r>
        <w:rPr>
          <w:rFonts w:hint="eastAsia"/>
          <w:vertAlign w:val="superscript"/>
        </w:rPr>
        <w:t>3</w:t>
      </w:r>
      <w:r>
        <w:rPr>
          <w:rFonts w:hint="eastAsia"/>
        </w:rPr>
        <w:t>/d。农村已建成集中式供水工程8处，覆盖8个乡镇，其中千人工程6处，百人工程2处，设计供水规模约2万</w:t>
      </w:r>
      <w:r>
        <w:t>m</w:t>
      </w:r>
      <w:r>
        <w:rPr>
          <w:vertAlign w:val="superscript"/>
        </w:rPr>
        <w:t>3</w:t>
      </w:r>
      <w:r>
        <w:rPr>
          <w:rFonts w:hint="eastAsia"/>
        </w:rPr>
        <w:t>/</w:t>
      </w:r>
      <w:r>
        <w:t>d</w:t>
      </w:r>
      <w:r>
        <w:rPr>
          <w:rFonts w:hint="eastAsia"/>
        </w:rPr>
        <w:t>。全市农村自来水普及率达到71.2%，水质达标率和供水保证率达到</w:t>
      </w:r>
      <w:r>
        <w:t>95</w:t>
      </w:r>
      <w:r>
        <w:rPr>
          <w:rFonts w:hint="eastAsia"/>
        </w:rPr>
        <w:t>%以上。</w:t>
      </w:r>
    </w:p>
    <w:p w14:paraId="33BE57A7">
      <w:pPr>
        <w:pStyle w:val="64"/>
      </w:pPr>
      <w:r>
        <w:rPr>
          <w:rFonts w:hint="eastAsia"/>
        </w:rPr>
        <w:t>4. 水生态环境持续向好</w:t>
      </w:r>
    </w:p>
    <w:p w14:paraId="7EAF3A22">
      <w:pPr>
        <w:pStyle w:val="82"/>
        <w:ind w:firstLine="651"/>
      </w:pPr>
      <w:r>
        <w:rPr>
          <w:rFonts w:hint="eastAsia"/>
          <w:b/>
        </w:rPr>
        <w:t>水生态修复工作不断推进。</w:t>
      </w:r>
      <w:bookmarkStart w:id="9" w:name="_Hlk204670200"/>
      <w:r>
        <w:rPr>
          <w:rFonts w:hint="eastAsia"/>
        </w:rPr>
        <w:t>根据额尔古纳市国土变更调查成果，</w:t>
      </w:r>
      <w:r>
        <w:rPr>
          <w:bCs/>
        </w:rPr>
        <w:t>额尔古纳市现有森林约2</w:t>
      </w:r>
      <w:r>
        <w:rPr>
          <w:rFonts w:hint="eastAsia"/>
          <w:bCs/>
        </w:rPr>
        <w:t>.</w:t>
      </w:r>
      <w:r>
        <w:rPr>
          <w:bCs/>
        </w:rPr>
        <w:t>09万</w:t>
      </w:r>
      <w:r>
        <w:rPr>
          <w:rFonts w:hint="eastAsia"/>
        </w:rPr>
        <w:t>km</w:t>
      </w:r>
      <w:r>
        <w:rPr>
          <w:rFonts w:hint="eastAsia"/>
          <w:vertAlign w:val="superscript"/>
        </w:rPr>
        <w:t>2</w:t>
      </w:r>
      <w:r>
        <w:rPr>
          <w:bCs/>
        </w:rPr>
        <w:t>，主要分布于北部林区，森林覆盖率为36.26%</w:t>
      </w:r>
      <w:r>
        <w:rPr>
          <w:rFonts w:hint="eastAsia"/>
        </w:rPr>
        <w:t>；现有草原总面积为0.36万km</w:t>
      </w:r>
      <w:r>
        <w:rPr>
          <w:rFonts w:hint="eastAsia"/>
          <w:vertAlign w:val="superscript"/>
        </w:rPr>
        <w:t>2</w:t>
      </w:r>
      <w:r>
        <w:rPr>
          <w:rFonts w:hint="eastAsia"/>
        </w:rPr>
        <w:t>，</w:t>
      </w:r>
      <w:bookmarkEnd w:id="9"/>
      <w:r>
        <w:t>额尔古纳河流域水草肥美，储量丰富</w:t>
      </w:r>
      <w:r>
        <w:rPr>
          <w:rFonts w:hint="eastAsia"/>
        </w:rPr>
        <w:t>，生态本底条件好。近些年全市通过开展河湖“清四乱”，加强河流水域岸线保护，编制“一河一策”实施方案，有效维护河流健康生态环境；通过对额尔古纳市河道砂坑治理修复，对市区及各乡镇附近河道的历史遗留砂坑、砂堆进行恢复，不断加强对河流湿地生态系统保护。2023年组织开展了巴尔扎贯郭勒、得尔布干河、哈乌鲁河、莫尔道嘎河、依根河等重要河流健康评价，进一步保障河道水绿河清。</w:t>
      </w:r>
    </w:p>
    <w:p w14:paraId="58123DB1">
      <w:pPr>
        <w:pStyle w:val="82"/>
        <w:ind w:firstLine="651"/>
      </w:pPr>
      <w:r>
        <w:rPr>
          <w:rFonts w:hint="eastAsia"/>
          <w:b/>
          <w:bCs/>
        </w:rPr>
        <w:t>河湖生态环境质量稳中有升。</w:t>
      </w:r>
      <w:r>
        <w:rPr>
          <w:rFonts w:hint="eastAsia"/>
        </w:rPr>
        <w:t>额尔古纳市一级水功能区共</w:t>
      </w:r>
      <w:r>
        <w:t>23</w:t>
      </w:r>
      <w:r>
        <w:rPr>
          <w:rFonts w:hint="eastAsia"/>
        </w:rPr>
        <w:t>个，其中</w:t>
      </w:r>
      <w:r>
        <w:t>10</w:t>
      </w:r>
      <w:r>
        <w:rPr>
          <w:rFonts w:hint="eastAsia"/>
        </w:rPr>
        <w:t>个保护区、</w:t>
      </w:r>
      <w:r>
        <w:t>1</w:t>
      </w:r>
      <w:r>
        <w:rPr>
          <w:rFonts w:hint="eastAsia"/>
        </w:rPr>
        <w:t>个缓冲区以及</w:t>
      </w:r>
      <w:r>
        <w:t>12</w:t>
      </w:r>
      <w:r>
        <w:rPr>
          <w:rFonts w:hint="eastAsia"/>
        </w:rPr>
        <w:t>个开发利用区；共划分</w:t>
      </w:r>
      <w:r>
        <w:t>12</w:t>
      </w:r>
      <w:r>
        <w:rPr>
          <w:rFonts w:hint="eastAsia"/>
        </w:rPr>
        <w:t>个二级水功能区，涉及</w:t>
      </w:r>
      <w:r>
        <w:t>11</w:t>
      </w:r>
      <w:r>
        <w:rPr>
          <w:rFonts w:hint="eastAsia"/>
        </w:rPr>
        <w:t>个开发利用区。现有国考断面两个，分别为根河口内、苏沁断面，根据“十四五”考核目标，两个断面的目标水质皆为III类水体。从2019到2022年，国考断面地表水水质均达标，水质达标率100%。近年来对全市2处入河排污口提标改造，出水水质已全部实现一级A标准排放。</w:t>
      </w:r>
    </w:p>
    <w:p w14:paraId="1D139C00">
      <w:pPr>
        <w:pStyle w:val="82"/>
        <w:ind w:firstLine="651"/>
      </w:pPr>
      <w:bookmarkStart w:id="10" w:name="_Hlk201562057"/>
      <w:r>
        <w:rPr>
          <w:rFonts w:hint="eastAsia"/>
          <w:b/>
          <w:bCs/>
        </w:rPr>
        <w:t>水土流失治理总体向好。</w:t>
      </w:r>
      <w:r>
        <w:rPr>
          <w:rFonts w:hint="eastAsia"/>
        </w:rPr>
        <w:t>近年来额尔古纳市相继开展了小流域综合治理工程、国家农业综合开发东北黑土区水土流失重点治理工程、侵蚀沟综合治理工程，水土保持成效显著，额尔古纳市水利局依据生产建设项目立项文件开展水土保持方案审批、监督检查和水土保持补偿费收缴工作。截至现状水平年，额尔古纳市轻度以下土壤侵蚀面积约0.</w:t>
      </w:r>
      <w:r>
        <w:t>04</w:t>
      </w:r>
      <w:r>
        <w:rPr>
          <w:rFonts w:hint="eastAsia"/>
        </w:rPr>
        <w:t>万km</w:t>
      </w:r>
      <w:r>
        <w:rPr>
          <w:rFonts w:hint="eastAsia"/>
          <w:vertAlign w:val="superscript"/>
        </w:rPr>
        <w:t>2</w:t>
      </w:r>
      <w:r>
        <w:rPr>
          <w:rFonts w:hint="eastAsia"/>
        </w:rPr>
        <w:t>，水土保持率达到98.64%。</w:t>
      </w:r>
      <w:bookmarkEnd w:id="10"/>
    </w:p>
    <w:p w14:paraId="00DBFA5A">
      <w:pPr>
        <w:pStyle w:val="64"/>
      </w:pPr>
      <w:r>
        <w:rPr>
          <w:rFonts w:hint="eastAsia"/>
        </w:rPr>
        <w:t>5. 水利智慧化建设稳步推进</w:t>
      </w:r>
    </w:p>
    <w:p w14:paraId="65A3DA74">
      <w:pPr>
        <w:pStyle w:val="82"/>
        <w:ind w:firstLine="651"/>
      </w:pPr>
      <w:r>
        <w:rPr>
          <w:rFonts w:hint="eastAsia"/>
          <w:b/>
          <w:bCs/>
        </w:rPr>
        <w:t>信息化基础设施建设不断完善。</w:t>
      </w:r>
      <w:r>
        <w:rPr>
          <w:rFonts w:hint="eastAsia"/>
        </w:rPr>
        <w:t>监测感知方面，额尔古纳市已建成20个雨量站，4个墒情站和一个视频站，设置自动化监测点，确保工程安全运行。通信网络方面，市水利局与上级水行政主管部门建立了通信链路，为信息交换传输和视频会商提供了高速快捷的通信保障。基础环境方面，额尔古纳市水利局设置了1间监控中心，配有综合应用工作站、操作台、大屏幕显示系统等，保证了信息系统的高效运行。</w:t>
      </w:r>
    </w:p>
    <w:p w14:paraId="6A6BD104">
      <w:pPr>
        <w:pStyle w:val="82"/>
        <w:ind w:firstLine="651"/>
      </w:pPr>
      <w:r>
        <w:rPr>
          <w:rFonts w:hint="eastAsia"/>
          <w:b/>
          <w:bCs/>
        </w:rPr>
        <w:t>数据资源不断积累。</w:t>
      </w:r>
      <w:r>
        <w:rPr>
          <w:rFonts w:hint="eastAsia"/>
        </w:rPr>
        <w:t>额尔古纳市水利局积累了的河流水系、水利工程、取用水户等基础数据，视频、雨情等监测数据和业务管理数据也不断完善。</w:t>
      </w:r>
    </w:p>
    <w:p w14:paraId="151935C9">
      <w:pPr>
        <w:pStyle w:val="82"/>
        <w:ind w:firstLine="651"/>
      </w:pPr>
      <w:r>
        <w:rPr>
          <w:rFonts w:hint="eastAsia"/>
          <w:b/>
          <w:bCs/>
        </w:rPr>
        <w:t>应用系统建设持续深入。</w:t>
      </w:r>
      <w:r>
        <w:rPr>
          <w:rFonts w:hint="eastAsia"/>
        </w:rPr>
        <w:t>额尔古纳市水利局建设了水利信息化综合平台，覆盖水资源管理、水旱灾害防御（包括山洪灾害、水库雨水情）、灌区管理等业务，为额尔古纳市水利局提供全市水利综合信息服务。</w:t>
      </w:r>
    </w:p>
    <w:p w14:paraId="64CEDCF8">
      <w:pPr>
        <w:pStyle w:val="64"/>
      </w:pPr>
      <w:r>
        <w:rPr>
          <w:rFonts w:hint="eastAsia"/>
        </w:rPr>
        <w:t>6. 水网体制机制建设不断健全</w:t>
      </w:r>
    </w:p>
    <w:p w14:paraId="58C67A30">
      <w:pPr>
        <w:pStyle w:val="82"/>
        <w:ind w:firstLine="648"/>
      </w:pPr>
      <w:r>
        <w:rPr>
          <w:rFonts w:hint="eastAsia"/>
        </w:rPr>
        <w:t>严格实行用水总量和强度控制，不断健全指标体系，逐年按照市级下达用水总量、用水强度控制指标执行；制定了全市主要江河管控断面流量目标。水资源管理不断强化，出台了关于强化水资源管理等一系列文件，提升水资源管理效能。节水工作稳步推进，出台了《额尔古纳市节水行动实施方案》，成功评为全国节水型社会建设达标县。印发了《呼伦贝尔农垦集团拉布大林农牧场农业水价综合改革用水管理办法的通知》等一系列文件，水价改革持续深化。河流管理保护多措并举，完成《额尔古纳市河道采砂规划（2019—2023年）》和重点河流保护与利用规划的编制工作。河湖长制全面落实，印发了《关于在全市开展河流管理保护“春季”行动的通知》《额尔古纳市河长制办公室关于在全市开展河流管理保护“秋季”行动的通知》《〈额尔古纳市2022年河长制工作考核细则〉的通知》（额河长办发〔2022〕13号）等。水利工程运行管理持续推进，针对建设的堤防工程编制了《额尔古纳市堤防运行管理办法及预案》。</w:t>
      </w:r>
    </w:p>
    <w:p w14:paraId="3967DF84">
      <w:pPr>
        <w:pStyle w:val="34"/>
      </w:pPr>
      <w:bookmarkStart w:id="11" w:name="_Toc216964740"/>
      <w:r>
        <w:rPr>
          <w:rFonts w:hint="eastAsia"/>
        </w:rPr>
        <w:t>（三）存在主要问题</w:t>
      </w:r>
      <w:bookmarkEnd w:id="11"/>
    </w:p>
    <w:p w14:paraId="1135BB31">
      <w:pPr>
        <w:pStyle w:val="64"/>
      </w:pPr>
      <w:r>
        <w:rPr>
          <w:rFonts w:hint="eastAsia"/>
        </w:rPr>
        <w:t>1. 防洪减灾工程体系仍需完善</w:t>
      </w:r>
    </w:p>
    <w:p w14:paraId="2D2688A3">
      <w:pPr>
        <w:pStyle w:val="82"/>
        <w:ind w:firstLine="651"/>
      </w:pPr>
      <w:r>
        <w:rPr>
          <w:rFonts w:hint="eastAsia"/>
          <w:b/>
        </w:rPr>
        <w:t>主要支流</w:t>
      </w:r>
      <w:r>
        <w:rPr>
          <w:b/>
        </w:rPr>
        <w:t>防洪工程</w:t>
      </w:r>
      <w:r>
        <w:rPr>
          <w:rFonts w:hint="eastAsia"/>
          <w:b/>
        </w:rPr>
        <w:t>存在薄弱环节，</w:t>
      </w:r>
      <w:r>
        <w:rPr>
          <w:b/>
        </w:rPr>
        <w:t>中小河流治理较为滞后。</w:t>
      </w:r>
      <w:r>
        <w:rPr>
          <w:rFonts w:hint="eastAsia"/>
        </w:rPr>
        <w:t>根河沿岸白音扎拉嘎、大立山村、楚鲁图村、桦树林村、西地营子村、梁西村、市区自来水厂等河段仍受到</w:t>
      </w:r>
      <w:r>
        <w:t>洪水威胁</w:t>
      </w:r>
      <w:r>
        <w:rPr>
          <w:rFonts w:hint="eastAsia"/>
        </w:rPr>
        <w:t>，得尔布干河尚未进行系统治理，沿岸村庄、耕地仍受到</w:t>
      </w:r>
      <w:r>
        <w:t>洪水威胁</w:t>
      </w:r>
      <w:r>
        <w:rPr>
          <w:rFonts w:hint="eastAsia"/>
        </w:rPr>
        <w:t>；两岸有防洪保护对象的中小河流仍有5条尚未进行治理，防御洪灾能力较差；</w:t>
      </w:r>
      <w:r>
        <w:t>莫尔道嘎镇</w:t>
      </w:r>
      <w:r>
        <w:rPr>
          <w:rFonts w:hint="eastAsia"/>
        </w:rPr>
        <w:t>和多博库塞河堤防年久失修，因河流比降陡，在泄洪时流速较大，极易冲刷河槽两岸堤防，存在多处险工段威胁堤防安全。</w:t>
      </w:r>
    </w:p>
    <w:p w14:paraId="6F0D1A67">
      <w:pPr>
        <w:pStyle w:val="82"/>
        <w:ind w:firstLine="651"/>
      </w:pPr>
      <w:r>
        <w:rPr>
          <w:rFonts w:hint="eastAsia"/>
          <w:b/>
        </w:rPr>
        <w:t>城市防洪</w:t>
      </w:r>
      <w:r>
        <w:rPr>
          <w:b/>
        </w:rPr>
        <w:t>体系有待进一步完善。</w:t>
      </w:r>
      <w:r>
        <w:rPr>
          <w:rFonts w:hint="eastAsia"/>
        </w:rPr>
        <w:t>额尔古纳市</w:t>
      </w:r>
      <w:r>
        <w:t>中心城区防洪工程体系基本形成，</w:t>
      </w:r>
      <w:r>
        <w:rPr>
          <w:rFonts w:hint="eastAsia"/>
        </w:rPr>
        <w:t>城区内</w:t>
      </w:r>
      <w:r>
        <w:t>洪水基本可以依靠防洪体系顺利</w:t>
      </w:r>
      <w:r>
        <w:rPr>
          <w:rFonts w:hint="eastAsia"/>
        </w:rPr>
        <w:t>下泄</w:t>
      </w:r>
      <w:r>
        <w:t>，</w:t>
      </w:r>
      <w:r>
        <w:rPr>
          <w:rFonts w:hint="eastAsia"/>
        </w:rPr>
        <w:t>但城区河道那尔莫格其沟尚未</w:t>
      </w:r>
      <w:r>
        <w:t>形成完整的</w:t>
      </w:r>
      <w:r>
        <w:rPr>
          <w:rFonts w:hint="eastAsia"/>
        </w:rPr>
        <w:t>工程</w:t>
      </w:r>
      <w:r>
        <w:t>体系，</w:t>
      </w:r>
      <w:r>
        <w:rPr>
          <w:rFonts w:hint="eastAsia"/>
        </w:rPr>
        <w:t>部分河段存在</w:t>
      </w:r>
      <w:r>
        <w:t>防洪薄弱环节</w:t>
      </w:r>
      <w:r>
        <w:rPr>
          <w:rFonts w:hint="eastAsia"/>
        </w:rPr>
        <w:t>，煤矿</w:t>
      </w:r>
      <w:r>
        <w:t>西沟</w:t>
      </w:r>
      <w:r>
        <w:rPr>
          <w:rFonts w:hint="eastAsia"/>
        </w:rPr>
        <w:t>山洪沟汛期</w:t>
      </w:r>
      <w:r>
        <w:t>山洪直</w:t>
      </w:r>
      <w:r>
        <w:rPr>
          <w:rFonts w:hint="eastAsia"/>
        </w:rPr>
        <w:t>入</w:t>
      </w:r>
      <w:r>
        <w:t>城区，对城区</w:t>
      </w:r>
      <w:r>
        <w:rPr>
          <w:rFonts w:hint="eastAsia"/>
        </w:rPr>
        <w:t>防洪</w:t>
      </w:r>
      <w:r>
        <w:t>安全构成威胁</w:t>
      </w:r>
      <w:r>
        <w:rPr>
          <w:rFonts w:hint="eastAsia"/>
        </w:rPr>
        <w:t>。</w:t>
      </w:r>
    </w:p>
    <w:p w14:paraId="0978C351">
      <w:pPr>
        <w:pStyle w:val="82"/>
        <w:ind w:firstLine="651"/>
      </w:pPr>
      <w:r>
        <w:rPr>
          <w:b/>
        </w:rPr>
        <w:t>山洪灾害防治任务重，总体防御能力还有待加强</w:t>
      </w:r>
      <w:r>
        <w:t>。</w:t>
      </w:r>
      <w:r>
        <w:rPr>
          <w:rFonts w:hint="eastAsia"/>
        </w:rPr>
        <w:t>额尔古纳市共有山洪沟138条</w:t>
      </w:r>
      <w:r>
        <w:t>，</w:t>
      </w:r>
      <w:r>
        <w:rPr>
          <w:rFonts w:hint="eastAsia"/>
        </w:rPr>
        <w:t>流经无人区的山洪沟占80%以上，历史上拉布大林街道、三河回族乡、上库力街道</w:t>
      </w:r>
      <w:r>
        <w:t>山洪灾害</w:t>
      </w:r>
      <w:r>
        <w:rPr>
          <w:rFonts w:hint="eastAsia"/>
        </w:rPr>
        <w:t>较为严重，目前仅上库力河得到治理。额尔古纳市虽具备防洪预警预报系统、防汛指挥系统，但仍存在管理基础设施不健全、雨水情测报站布局覆盖面小、信息化现代化程度不高等问题。</w:t>
      </w:r>
    </w:p>
    <w:p w14:paraId="4F9BCB2E">
      <w:pPr>
        <w:pStyle w:val="64"/>
      </w:pPr>
      <w:r>
        <w:rPr>
          <w:rFonts w:hint="eastAsia"/>
        </w:rPr>
        <w:t>2. 水资源配置体系仍需优化</w:t>
      </w:r>
    </w:p>
    <w:p w14:paraId="0F564BEC">
      <w:pPr>
        <w:pStyle w:val="82"/>
        <w:ind w:firstLine="651"/>
      </w:pPr>
      <w:r>
        <w:rPr>
          <w:b/>
          <w:bCs/>
        </w:rPr>
        <w:t>节水潜力挖掘与节水制度建设</w:t>
      </w:r>
      <w:r>
        <w:rPr>
          <w:rFonts w:hint="eastAsia"/>
          <w:b/>
          <w:bCs/>
        </w:rPr>
        <w:t>有待完善</w:t>
      </w:r>
      <w:r>
        <w:rPr>
          <w:b/>
          <w:bCs/>
        </w:rPr>
        <w:t>。</w:t>
      </w:r>
      <w:r>
        <w:rPr>
          <w:rFonts w:hint="eastAsia"/>
        </w:rPr>
        <w:t>额尔古纳市</w:t>
      </w:r>
      <w:r>
        <w:t>农业用水占比大，超过了</w:t>
      </w:r>
      <w:r>
        <w:rPr>
          <w:rFonts w:hint="eastAsia"/>
        </w:rPr>
        <w:t>86</w:t>
      </w:r>
      <w:r>
        <w:t>%，现状</w:t>
      </w:r>
      <w:r>
        <w:rPr>
          <w:rFonts w:hint="eastAsia"/>
        </w:rPr>
        <w:t>农田</w:t>
      </w:r>
      <w:r>
        <w:t>灌溉水有效利用系数0.6</w:t>
      </w:r>
      <w:r>
        <w:rPr>
          <w:rFonts w:hint="eastAsia"/>
        </w:rPr>
        <w:t>28</w:t>
      </w:r>
      <w:r>
        <w:t>，</w:t>
      </w:r>
      <w:r>
        <w:rPr>
          <w:rFonts w:hint="eastAsia"/>
        </w:rPr>
        <w:t>农业节水</w:t>
      </w:r>
      <w:r>
        <w:t>仍有空间</w:t>
      </w:r>
      <w:r>
        <w:rPr>
          <w:rFonts w:hint="eastAsia"/>
        </w:rPr>
        <w:t>；全市万元工业增加值用水量51.6</w:t>
      </w:r>
      <w:r>
        <w:t>m</w:t>
      </w:r>
      <w:r>
        <w:rPr>
          <w:rFonts w:hint="eastAsia"/>
          <w:vertAlign w:val="superscript"/>
        </w:rPr>
        <w:t>3</w:t>
      </w:r>
      <w:r>
        <w:t>/</w:t>
      </w:r>
      <w:r>
        <w:rPr>
          <w:rFonts w:hint="eastAsia"/>
        </w:rPr>
        <w:t>万元，远高于自治区和呼伦贝尔市万元工业增加平均用水水平；</w:t>
      </w:r>
      <w:r>
        <w:t>节水制度建设仍需完善，水资源刚性约束制度体系尚未</w:t>
      </w:r>
      <w:r>
        <w:rPr>
          <w:rFonts w:hint="eastAsia"/>
        </w:rPr>
        <w:t>健全</w:t>
      </w:r>
      <w:r>
        <w:t>，</w:t>
      </w:r>
      <w:r>
        <w:rPr>
          <w:rFonts w:hint="eastAsia"/>
        </w:rPr>
        <w:t>“</w:t>
      </w:r>
      <w:r>
        <w:t>四水四定</w:t>
      </w:r>
      <w:r>
        <w:rPr>
          <w:rFonts w:hint="eastAsia"/>
        </w:rPr>
        <w:t>”实施机制有待健全，</w:t>
      </w:r>
      <w:r>
        <w:t>落实力度仍需加强。</w:t>
      </w:r>
    </w:p>
    <w:p w14:paraId="374AA22D">
      <w:pPr>
        <w:pStyle w:val="82"/>
        <w:ind w:firstLine="651"/>
      </w:pPr>
      <w:r>
        <w:rPr>
          <w:rFonts w:hint="eastAsia"/>
          <w:b/>
          <w:bCs/>
        </w:rPr>
        <w:t>城乡供水保障能力有待提高。</w:t>
      </w:r>
      <w:r>
        <w:t>目前</w:t>
      </w:r>
      <w:r>
        <w:rPr>
          <w:rFonts w:hint="eastAsia"/>
        </w:rPr>
        <w:t>额尔古纳市城乡供水主要以分散地下水为主，供水水源单一，供水结构有待进一步优化；大部分地区水质仍存在氟化物超标等问题，汛期常见水质不稳现象；中心城区仅一处水源地，抗旱水平和应急备用能力不足；农村地区由于村屯较为分散，居民取水距离集中供水点较远，亟需开展农村供水高质量发展工程，提升农村供水保障能力。</w:t>
      </w:r>
    </w:p>
    <w:p w14:paraId="40C6EDB5">
      <w:pPr>
        <w:pStyle w:val="82"/>
        <w:ind w:firstLine="651"/>
      </w:pPr>
      <w:r>
        <w:rPr>
          <w:rFonts w:hint="eastAsia"/>
          <w:b/>
          <w:bCs/>
        </w:rPr>
        <w:t>耕地灌溉保障程度低。</w:t>
      </w:r>
      <w:r>
        <w:rPr>
          <w:rFonts w:hint="eastAsia"/>
        </w:rPr>
        <w:t>额尔古纳市现状耕地面积</w:t>
      </w:r>
      <w:r>
        <w:t>282.72</w:t>
      </w:r>
      <w:r>
        <w:rPr>
          <w:rFonts w:hint="eastAsia"/>
        </w:rPr>
        <w:t>万亩，有效灌溉面积89.0万亩，现状实际灌溉面积57.1万亩，耕地灌溉率仅为31.5%，仍有约193.72万亩耕地属于“望天田”，缺少基本的灌溉条件；已建灌区多以泵站提水和蓄水池相结合为主，由于缺乏骨干调蓄设施，且渠系之间缺乏连通，水资源时空调配能力不足，导致现有灌区灌溉保证率不足，且应对极端气候和连续干旱的能力较弱。与当前国家粮食安全战略、自治区国家重要农畜产品生产基地建设以及高标准农田发展等要求尚有一定差距。</w:t>
      </w:r>
    </w:p>
    <w:p w14:paraId="49AD7BF0">
      <w:pPr>
        <w:pStyle w:val="64"/>
      </w:pPr>
      <w:r>
        <w:rPr>
          <w:rFonts w:hint="eastAsia"/>
        </w:rPr>
        <w:t>3. 河湖生态保护与修复亟待加强</w:t>
      </w:r>
    </w:p>
    <w:p w14:paraId="7D9D90D8">
      <w:pPr>
        <w:pStyle w:val="82"/>
        <w:ind w:firstLine="651"/>
      </w:pPr>
      <w:r>
        <w:rPr>
          <w:rFonts w:hint="eastAsia"/>
          <w:b/>
        </w:rPr>
        <w:t>河流及湿地亟待统一保护治理。</w:t>
      </w:r>
      <w:r>
        <w:rPr>
          <w:rFonts w:hint="eastAsia"/>
        </w:rPr>
        <w:t>得尔布干河、依根河、库力河、乌尔根河、乌耶勒格其河、钦达嘎河等流域内降雨减少，而载畜量持续增加，局部地区存在过载放牧现象，致使草地退化，河流下游沼泽湿地萎缩。莫尔道嘎河</w:t>
      </w:r>
      <w:r>
        <w:t>、哈乌鲁河等河道</w:t>
      </w:r>
      <w:r>
        <w:rPr>
          <w:rFonts w:hint="eastAsia"/>
        </w:rPr>
        <w:t>存在侵占岸线的现象，河流水域空间管控和保护有待加强。</w:t>
      </w:r>
    </w:p>
    <w:p w14:paraId="7A799BA0">
      <w:pPr>
        <w:pStyle w:val="82"/>
        <w:ind w:firstLine="651"/>
      </w:pPr>
      <w:r>
        <w:rPr>
          <w:rFonts w:hint="eastAsia"/>
          <w:b/>
          <w:bCs/>
        </w:rPr>
        <w:t>河湖生态流量亟需制定。</w:t>
      </w:r>
      <w:r>
        <w:rPr>
          <w:rFonts w:hint="eastAsia"/>
        </w:rPr>
        <w:t>额尔古纳市河湖众多，开发利用程度较低，主要河流依然缺少明确的生态流量的制定，缺少生态流量考核断面。</w:t>
      </w:r>
    </w:p>
    <w:p w14:paraId="2D8F5C4F">
      <w:pPr>
        <w:pStyle w:val="82"/>
        <w:ind w:firstLine="651"/>
      </w:pPr>
      <w:r>
        <w:rPr>
          <w:rFonts w:hint="eastAsia"/>
          <w:b/>
          <w:bCs/>
        </w:rPr>
        <w:t>污染物入河管理仍需加强。</w:t>
      </w:r>
      <w:r>
        <w:rPr>
          <w:rFonts w:hint="eastAsia"/>
        </w:rPr>
        <w:t>部分河流沿岸村庄存在散排、乱排的现象，缺少生活垃圾和生活污水的收集与处理设施，部分城乡污水处理能力不能满足经济社会发展要求。部分河流两岸农田较多，受到农业面源污染严重，科学施肥的观念仍需加强。</w:t>
      </w:r>
    </w:p>
    <w:p w14:paraId="7BB440A1">
      <w:pPr>
        <w:pStyle w:val="82"/>
        <w:ind w:firstLine="651"/>
      </w:pPr>
      <w:r>
        <w:rPr>
          <w:rFonts w:hint="eastAsia"/>
          <w:b/>
          <w:bCs/>
        </w:rPr>
        <w:t>水土流失治理任务依然艰巨。</w:t>
      </w:r>
      <w:r>
        <w:rPr>
          <w:rFonts w:hint="eastAsia"/>
        </w:rPr>
        <w:t>额尔古纳市目前保护表土资源的任务依然艰巨，同时生态清洁小流域、农业面源污染控制项目等建设任务</w:t>
      </w:r>
      <w:r>
        <w:t>已纳入日程</w:t>
      </w:r>
      <w:r>
        <w:rPr>
          <w:rFonts w:hint="eastAsia"/>
        </w:rPr>
        <w:t>，且近年来随着经济社会快速发展，人为造成水土流失问题日趋严重。</w:t>
      </w:r>
      <w:r>
        <w:t>与当前水土流失治理任务相比，水土保持投资投入标准低，投资规模小，投资配套制度尚不完善，尚不能满足生态建设需要，水土保持投入不足的问题日益凸显</w:t>
      </w:r>
      <w:r>
        <w:rPr>
          <w:rFonts w:hint="eastAsia"/>
        </w:rPr>
        <w:t>。</w:t>
      </w:r>
    </w:p>
    <w:p w14:paraId="6A7C5BC4">
      <w:pPr>
        <w:pStyle w:val="64"/>
      </w:pPr>
      <w:r>
        <w:rPr>
          <w:rFonts w:hint="eastAsia"/>
        </w:rPr>
        <w:t>4. 水网智慧化水平亟待提高</w:t>
      </w:r>
    </w:p>
    <w:p w14:paraId="5280E425">
      <w:pPr>
        <w:pStyle w:val="82"/>
        <w:ind w:firstLine="651"/>
      </w:pPr>
      <w:r>
        <w:rPr>
          <w:rFonts w:hint="eastAsia"/>
          <w:b/>
          <w:bCs/>
        </w:rPr>
        <w:t>信息化基础设施有待完善。</w:t>
      </w:r>
      <w:r>
        <w:rPr>
          <w:rFonts w:hint="eastAsia"/>
        </w:rPr>
        <w:t>气象卫星与测雨雷达、雨量站、水文站组建的雨水情监测“三道防线”尚不完善，无法全面实现对云中雨、落地雨、河道径流的实时监测和预报预警。雨量站站网不足，不能精准监测流域暴雨时空分布和面平均降雨量；山洪沟水位站点不足，不能满足防洪减灾的需求，墒情监测站点密度不足，分布不均。网络带宽不足，无法支撑后续数字孪生建设。工控网未按照实时控制区与过程监控区的要求严格划分。城乡供水方面，监测点密度不够，水表尚未改造为物联网水表，信息化建设不完善；卫星遥感、无人机、高清视频等技术手段应用较少。水利工程自动化控制程度低。目前仅部分工程有自动化控制系统，并且大多建设年代久远，存在老化现象，以及无法实现工程的远程集中控制。</w:t>
      </w:r>
    </w:p>
    <w:p w14:paraId="418880D1">
      <w:pPr>
        <w:pStyle w:val="82"/>
        <w:ind w:firstLine="651"/>
      </w:pPr>
      <w:r>
        <w:rPr>
          <w:rFonts w:hint="eastAsia"/>
          <w:b/>
          <w:bCs/>
        </w:rPr>
        <w:t>数字孪生平台建设亟需推进。</w:t>
      </w:r>
      <w:r>
        <w:rPr>
          <w:rFonts w:hint="eastAsia"/>
        </w:rPr>
        <w:t xml:space="preserve">地理空间数据覆盖不全、共享不足，缺乏高精度的DOM、DEM、倾斜摄影、水下地形、工程建筑信息模型（BIM）等地理空间数据。地表覆盖、河湖“四乱”、流域下垫面等数据更新周期长，不能有效满足三维分析等功能以及业务现势性需要。缺少水网专业模型、智能识别模型与水网知识等高精度算法，模型标准化和集约化程度不高，水利知识建设分散，尚未建设统一的模型平台与知识平台。 </w:t>
      </w:r>
    </w:p>
    <w:p w14:paraId="7D23226E">
      <w:pPr>
        <w:pStyle w:val="82"/>
        <w:ind w:firstLine="651"/>
      </w:pPr>
      <w:r>
        <w:rPr>
          <w:rFonts w:hint="eastAsia"/>
          <w:b/>
          <w:bCs/>
        </w:rPr>
        <w:t>水利业务智能化应用水平亟待提升。</w:t>
      </w:r>
      <w:r>
        <w:rPr>
          <w:rFonts w:hint="eastAsia"/>
        </w:rPr>
        <w:t>目前业务应用系统功能主要集中在数据采集和信息展示，无法满足“四预”（预报、预警、预演、预案）功能要求。暂不具备应急信息汇聚、应急预案管理、应急调度预演和应急联动处置的能力。未建立工程安全运行监视体系，无法实现对水网工程的全方位故障定位、诊断分析和智能预警。缺少日常值班管理、水费核算等应用，无法支撑水网管理机构日常的运行值班和水网调度管理、水权交易管理等业务。</w:t>
      </w:r>
    </w:p>
    <w:p w14:paraId="3973D715">
      <w:pPr>
        <w:pStyle w:val="82"/>
        <w:ind w:firstLine="651"/>
      </w:pPr>
      <w:r>
        <w:rPr>
          <w:rFonts w:hint="eastAsia"/>
          <w:b/>
          <w:bCs/>
        </w:rPr>
        <w:t>网络安全体系与多维保障体系仍需完善。</w:t>
      </w:r>
      <w:r>
        <w:rPr>
          <w:rFonts w:hint="eastAsia"/>
        </w:rPr>
        <w:t>额尔古纳市水利局建立了基本的网络安全体系，但与数字孪生水网建设技术导则中对网络安全、网络安全运维等技术要求相比，网络安全等级保护建设仍有欠缺，威胁感知应急响应能力不足，网络安全防护能力仍存在隐患和薄弱环节。相比传统水利工程建设，智慧水利建设投入比重较低，持续建设性不足，缺乏专业的人才队伍建设和相应的运维保障体系，一定程度上制约了智慧水利高质量发展。</w:t>
      </w:r>
    </w:p>
    <w:p w14:paraId="59B62A24">
      <w:pPr>
        <w:pStyle w:val="64"/>
      </w:pPr>
      <w:r>
        <w:rPr>
          <w:rFonts w:hint="eastAsia"/>
        </w:rPr>
        <w:t>5</w:t>
      </w:r>
      <w:bookmarkStart w:id="12" w:name="_Toc151640394"/>
      <w:bookmarkStart w:id="13" w:name="_Toc149582869"/>
      <w:bookmarkStart w:id="14" w:name="_Toc150762185"/>
      <w:bookmarkStart w:id="15" w:name="_Toc175063408"/>
      <w:bookmarkStart w:id="16" w:name="_Toc151651276"/>
      <w:r>
        <w:rPr>
          <w:rFonts w:hint="eastAsia"/>
        </w:rPr>
        <w:t xml:space="preserve">. </w:t>
      </w:r>
      <w:bookmarkEnd w:id="12"/>
      <w:bookmarkEnd w:id="13"/>
      <w:bookmarkEnd w:id="14"/>
      <w:bookmarkEnd w:id="15"/>
      <w:bookmarkEnd w:id="16"/>
      <w:r>
        <w:rPr>
          <w:rFonts w:hint="eastAsia"/>
        </w:rPr>
        <w:t>水网高质量发展的管理体系待健全</w:t>
      </w:r>
    </w:p>
    <w:p w14:paraId="0877137D">
      <w:pPr>
        <w:pStyle w:val="82"/>
        <w:ind w:firstLine="651"/>
      </w:pPr>
      <w:r>
        <w:rPr>
          <w:rFonts w:hint="eastAsia"/>
          <w:b/>
          <w:bCs/>
        </w:rPr>
        <w:t>水治理体系尚不健全。</w:t>
      </w:r>
      <w:r>
        <w:rPr>
          <w:rFonts w:hint="eastAsia"/>
        </w:rPr>
        <w:t>水资源刚性约束机制尚未健全，尚未完全建立科学的水资源分配与监管体系；水资源统一调度、管理、保护的机制体制尚未健全，仍存在协调不畅等问题。水价、水权、水市场改革仍需进一步探索；水利投融资体制机制仍需进一步创新，水利工程建设管理和良性运行机制仍需进一步健全。</w:t>
      </w:r>
      <w:bookmarkStart w:id="17" w:name="_Hlk204693401"/>
      <w:r>
        <w:rPr>
          <w:rFonts w:hint="eastAsia"/>
        </w:rPr>
        <w:t>截至目前，全市尚无水库工程，缺乏水库管理经验，尚未建立专业的管理机构和人员队伍，管理体系空白，缺乏配套的管理制度与实施方案，尚未开展水库信息化管理系统开发，与自治区关于贯彻落实“四水四定”的要求仍存在一定差距。</w:t>
      </w:r>
    </w:p>
    <w:bookmarkEnd w:id="17"/>
    <w:p w14:paraId="306EAC85">
      <w:pPr>
        <w:pStyle w:val="82"/>
        <w:ind w:firstLine="651"/>
      </w:pPr>
      <w:r>
        <w:rPr>
          <w:rFonts w:hint="eastAsia"/>
          <w:b/>
          <w:bCs/>
        </w:rPr>
        <w:t>水治理能力亟待提升。</w:t>
      </w:r>
      <w:r>
        <w:rPr>
          <w:rFonts w:hint="eastAsia"/>
        </w:rPr>
        <w:t>水利法制与综合执法队伍建设有待加强。依法治水管水水平有待提高，河湖、水资源、水利工程、水土保持等涉水事务监管能力尚存薄弱环节，科技创新推广能力不足，缺乏相应的科技管理推广机构与科研成果转化途径；水利行政执法监管衔接不畅，人才队伍建设仍需加强。</w:t>
      </w:r>
    </w:p>
    <w:p w14:paraId="6944C1FF">
      <w:pPr>
        <w:pStyle w:val="34"/>
      </w:pPr>
      <w:bookmarkStart w:id="18" w:name="_Toc216964741"/>
      <w:r>
        <w:rPr>
          <w:rFonts w:hint="eastAsia"/>
        </w:rPr>
        <w:t>（四）面临形势与建设需求</w:t>
      </w:r>
      <w:bookmarkEnd w:id="18"/>
    </w:p>
    <w:p w14:paraId="27BB568E">
      <w:pPr>
        <w:pStyle w:val="64"/>
      </w:pPr>
      <w:r>
        <w:rPr>
          <w:rFonts w:hint="eastAsia"/>
        </w:rPr>
        <w:t>1. 党中央关于国家水网建设的决策部署对额尔古纳水网建设提出新要求</w:t>
      </w:r>
    </w:p>
    <w:p w14:paraId="212B40AD">
      <w:pPr>
        <w:pStyle w:val="82"/>
        <w:ind w:firstLine="648"/>
      </w:pPr>
      <w:r>
        <w:rPr>
          <w:rFonts w:hint="eastAsia"/>
        </w:rPr>
        <w:t>习近平总书记站在战略和全局的高度，亲自部署推动水网建设。2021年5月14日，总书记在推进南水北调后续工程高质量发展座谈会上明确提出，加快构建“系统完备、安全可靠，集约高效、绿色智能，循环通畅、调控有序”的国家水网。2022年4月26日，总书记在中央财经委员会第十一次会议上强调，加快构建国家水网主骨架和大动脉，推进重点水源、灌区、蓄滞洪区建设和现代化改造。2023年5月25日，中共中央、国务院印发了《国家水网建设规划纲要》，明确到2035 年，基本形成国家水网总体格局，国家水网主骨架和大动脉逐步建成，省市县水网基本完善，构建与基本实现社会主义现代化相适应的国家水安全保障体系。2024年9月水利部办公厅印发了《市县水网建设规划编制技术要点（试行）》，指导市县水网建设规划编制工作。贯彻落实党中央和水利部决策部署为额尔古纳市水网建设提出新机遇。2024年11月，习近平总书记提出“着力建设安全韧性现代水网”，是对我国现代水网建设提出的进一步要求。</w:t>
      </w:r>
    </w:p>
    <w:p w14:paraId="52F1F8D1">
      <w:pPr>
        <w:pStyle w:val="82"/>
        <w:ind w:firstLine="648"/>
      </w:pPr>
      <w:r>
        <w:rPr>
          <w:rFonts w:hint="eastAsia"/>
        </w:rPr>
        <w:t>额尔古纳水网作为呼伦贝尔市水网的重要延伸，要充分加强与上级水网的互联互通，立足额尔古纳水网建设实际与要求</w:t>
      </w:r>
      <w:r>
        <w:t>，</w:t>
      </w:r>
      <w:r>
        <w:rPr>
          <w:rFonts w:hint="eastAsia"/>
        </w:rPr>
        <w:t>助力构建国家水网“一张网”，积极与自治区水网、市级水网实现协同融合，打通水网“最后一公里”，贯彻落实党中央国家水网建设决策部署</w:t>
      </w:r>
      <w:r>
        <w:t>。</w:t>
      </w:r>
    </w:p>
    <w:p w14:paraId="05F511F4">
      <w:pPr>
        <w:pStyle w:val="64"/>
      </w:pPr>
      <w:r>
        <w:rPr>
          <w:rFonts w:hint="eastAsia"/>
        </w:rPr>
        <w:t>2. 自治区“五大任务”和推动内蒙古高质量发展的战略要求为额尔古纳水网建设提供新机遇</w:t>
      </w:r>
    </w:p>
    <w:p w14:paraId="026CD8A8">
      <w:pPr>
        <w:pStyle w:val="82"/>
        <w:ind w:firstLine="648"/>
      </w:pPr>
      <w:r>
        <w:t>习近平总书记先后三次到内蒙古</w:t>
      </w:r>
      <w:r>
        <w:rPr>
          <w:rFonts w:hint="eastAsia"/>
        </w:rPr>
        <w:t>自治区</w:t>
      </w:r>
      <w:r>
        <w:t>考察，</w:t>
      </w:r>
      <w:r>
        <w:rPr>
          <w:rFonts w:hint="eastAsia"/>
        </w:rPr>
        <w:t>连续5年参加全国两会内蒙古代表团审议，</w:t>
      </w:r>
      <w:r>
        <w:t>明确要求把内蒙古建设成为我国北方重要生态安全屏障、祖国北疆安全稳定屏障、国家重要能源和战略资源基地、农畜产品生产基地，我国向北开放重要桥头堡</w:t>
      </w:r>
      <w:r>
        <w:rPr>
          <w:rFonts w:hint="eastAsia"/>
        </w:rPr>
        <w:t>，赋予了内蒙古“两个屏障”、“两个基地”、“一个桥头堡”五大任务的战略定位</w:t>
      </w:r>
      <w:r>
        <w:t>。2023年10月，中共中央国务院印发的《关于推动内蒙古高质量发展奋力书写中国式现代化新篇章的意见》</w:t>
      </w:r>
      <w:r>
        <w:rPr>
          <w:rFonts w:hint="eastAsia"/>
        </w:rPr>
        <w:t>，明确了内蒙古高质量发展的实施路径和建设任务，</w:t>
      </w:r>
      <w:r>
        <w:t>提出</w:t>
      </w:r>
      <w:r>
        <w:rPr>
          <w:rFonts w:hint="eastAsia"/>
        </w:rPr>
        <w:t>统筹山水林田湖草沙系统治理，筑牢北方重要生态安全屏障，加快推进农牧业现代化，提升国家重要农畜产品生产基地综合生产能力。</w:t>
      </w:r>
    </w:p>
    <w:p w14:paraId="03BAA6BA">
      <w:pPr>
        <w:pStyle w:val="82"/>
        <w:ind w:firstLine="648"/>
      </w:pPr>
      <w:r>
        <w:rPr>
          <w:rFonts w:hint="eastAsia"/>
        </w:rPr>
        <w:t>额尔古纳作为自治重要生态安全屏障区、农畜产品生产基地、向北开放发展的重要桥头堡的重要组成部分，</w:t>
      </w:r>
      <w:r>
        <w:t>在维护</w:t>
      </w:r>
      <w:r>
        <w:rPr>
          <w:rFonts w:hint="eastAsia"/>
        </w:rPr>
        <w:t>粮食安全基地、水资源战略储备基地、水生态安全屏障、祖国北疆安全稳定屏障、向北开放桥头堡作用更加突出，</w:t>
      </w:r>
      <w:r>
        <w:t>在新一轮东北振兴和向北开放中的政策叠加优势</w:t>
      </w:r>
      <w:r>
        <w:rPr>
          <w:rFonts w:hint="eastAsia"/>
        </w:rPr>
        <w:t>中</w:t>
      </w:r>
      <w:r>
        <w:t>将迎来新机遇。</w:t>
      </w:r>
    </w:p>
    <w:p w14:paraId="0F777059">
      <w:pPr>
        <w:pStyle w:val="64"/>
      </w:pPr>
      <w:r>
        <w:rPr>
          <w:rFonts w:hint="eastAsia"/>
        </w:rPr>
        <w:t xml:space="preserve">3. </w:t>
      </w:r>
      <w:bookmarkStart w:id="19" w:name="_Hlk204694088"/>
      <w:r>
        <w:rPr>
          <w:rFonts w:hint="eastAsia"/>
        </w:rPr>
        <w:t>东北水网、内蒙古自治区水网、呼伦贝尔市水网的上位规划对额尔古纳水网建设提出了新要求</w:t>
      </w:r>
    </w:p>
    <w:bookmarkEnd w:id="19"/>
    <w:p w14:paraId="3A3AADFB">
      <w:pPr>
        <w:pStyle w:val="82"/>
        <w:ind w:firstLine="648"/>
      </w:pPr>
      <w:r>
        <w:rPr>
          <w:rFonts w:hint="eastAsia"/>
        </w:rPr>
        <w:t>2023年5月25日，中共中央国务院印发了《国家水网建设规划纲要》，提出了“一主、四域”国家水网主骨架，明确了东北松辽区域网要加快构建</w:t>
      </w:r>
      <w:r>
        <w:rPr>
          <w:rFonts w:hint="eastAsia"/>
          <w:b/>
          <w:bCs/>
        </w:rPr>
        <w:t>“三河连通、东水西引、北水南调”</w:t>
      </w:r>
      <w:r>
        <w:rPr>
          <w:rFonts w:hint="eastAsia"/>
        </w:rPr>
        <w:t>区域水网格局，重点解决东北地区城市群、粮食主产区、重点生态功能区供水保障和防洪安全保障问题。内蒙古自治区水网规划是东北水网重要组成部分，提出了</w:t>
      </w:r>
      <w:r>
        <w:rPr>
          <w:rFonts w:hint="eastAsia"/>
          <w:b/>
          <w:bCs/>
          <w:sz w:val="30"/>
          <w:szCs w:val="30"/>
        </w:rPr>
        <w:t>“</w:t>
      </w:r>
      <w:r>
        <w:rPr>
          <w:rFonts w:hint="eastAsia"/>
          <w:b/>
          <w:bCs/>
        </w:rPr>
        <w:t>一</w:t>
      </w:r>
      <w:r>
        <w:rPr>
          <w:rFonts w:hint="eastAsia"/>
          <w:b/>
        </w:rPr>
        <w:t>主两翼、三纵四横、西调东引、外联内通</w:t>
      </w:r>
      <w:r>
        <w:rPr>
          <w:rFonts w:hint="eastAsia"/>
          <w:sz w:val="30"/>
          <w:szCs w:val="30"/>
        </w:rPr>
        <w:t>”</w:t>
      </w:r>
      <w:r>
        <w:rPr>
          <w:rFonts w:hint="eastAsia"/>
        </w:rPr>
        <w:t>的水网布局。东北水网和内蒙古自治区水网均对呼伦贝尔市水资源提出了战略定位，</w:t>
      </w:r>
      <w:bookmarkStart w:id="20" w:name="_Hlk204694154"/>
      <w:r>
        <w:rPr>
          <w:rFonts w:hint="eastAsia"/>
        </w:rPr>
        <w:t>提出了</w:t>
      </w:r>
      <w:r>
        <w:rPr>
          <w:rFonts w:hint="eastAsia"/>
          <w:b/>
          <w:bCs/>
        </w:rPr>
        <w:t>“两大通道、九大枢纽、两横七纵、内联外输”</w:t>
      </w:r>
      <w:r>
        <w:rPr>
          <w:rFonts w:hint="eastAsia"/>
        </w:rPr>
        <w:t>的水网布局，</w:t>
      </w:r>
      <w:bookmarkEnd w:id="20"/>
      <w:r>
        <w:rPr>
          <w:rFonts w:hint="eastAsia"/>
        </w:rPr>
        <w:t>其中额尔古纳市境内河流是内蒙古自治区未来发展接续水源和战略储备水源，为稳固高纬度“中华水塔”的资源战略地位，构建优质水资源战略储备基地提供了规划方向和依据。东北水网、自治区水网和呼伦贝尔市水网对额尔古纳水网构建提供了根本遵循和实施路径。</w:t>
      </w:r>
    </w:p>
    <w:p w14:paraId="06D8A959">
      <w:pPr>
        <w:pStyle w:val="64"/>
      </w:pPr>
      <w:bookmarkStart w:id="21" w:name="_Toc175063413"/>
      <w:r>
        <w:rPr>
          <w:rFonts w:hint="eastAsia"/>
        </w:rPr>
        <w:t xml:space="preserve">4. </w:t>
      </w:r>
      <w:r>
        <w:t>经济社会高质量发展对</w:t>
      </w:r>
      <w:r>
        <w:rPr>
          <w:rFonts w:hint="eastAsia"/>
        </w:rPr>
        <w:t>额尔古纳</w:t>
      </w:r>
      <w:r>
        <w:t>水网建设提出新方向</w:t>
      </w:r>
      <w:bookmarkEnd w:id="21"/>
    </w:p>
    <w:p w14:paraId="5B24C3EB">
      <w:pPr>
        <w:pStyle w:val="82"/>
        <w:ind w:firstLine="648"/>
      </w:pPr>
      <w:r>
        <w:rPr>
          <w:rFonts w:hint="eastAsia"/>
        </w:rPr>
        <w:t>二十大报告提出：“推动经济实现质的有效提升和量的合理增长”。这充分体现了我们党推动高质量发展的坚定决心，为今后一个时期经济发展指明了方向。中国共产党额尔古纳市第六届委员会历次全体会议指出，在党中央和自治区党委、呼伦贝尔市委的坚强领导下，市委常委会认真落实习近平总书记对内蒙古的重要指示精神，集中集聚优势资源力量，加快落实“五大任务”，牢固树立和践行绿水青山就是金山银山的理念，把安全发展贯穿经济社会发展的各领域和全过程，坚决扛起粮食安全政治责任，坚定不移推进高水平对外开放，奋力谱写中国式现代化建设额尔古纳新篇章。</w:t>
      </w:r>
    </w:p>
    <w:p w14:paraId="5B4ED0E5">
      <w:pPr>
        <w:pStyle w:val="82"/>
        <w:ind w:firstLine="648"/>
      </w:pPr>
      <w:r>
        <w:rPr>
          <w:rFonts w:hint="eastAsia"/>
        </w:rPr>
        <w:t>额尔古纳市是内蒙古自治区向北开放发展的重要桥头堡，围绕加强“在祖国北疆构筑起万里绿色长城”、“把内蒙古建成我国北方重要生态安全屏障，是立足全国发展大局确立的战略定位”功能建设，以生态保护、高质量发展、创造高品质生活、实现高效能治理为目标导向，立足优异的自然资源环境和口岸经济基础，着力建成山灵水秀、文脉悠远、创意荟萃、幸福和谐的边境宜居宜业宜游城市。额尔古纳水网建设要以高质量发展目标为导向，构建兴利除害的现代水网，全面加强水安全保障。</w:t>
      </w:r>
    </w:p>
    <w:p w14:paraId="1B3A8BDA">
      <w:pPr>
        <w:pStyle w:val="33"/>
        <w:rPr>
          <w:rFonts w:hint="eastAsia"/>
        </w:rPr>
        <w:sectPr>
          <w:footerReference r:id="rId7" w:type="default"/>
          <w:pgSz w:w="11906" w:h="16838"/>
          <w:pgMar w:top="1440" w:right="1800" w:bottom="1440" w:left="1800" w:header="851" w:footer="992" w:gutter="0"/>
          <w:pgNumType w:start="1"/>
          <w:cols w:space="425" w:num="1"/>
          <w:docGrid w:type="lines" w:linePitch="312" w:charSpace="0"/>
        </w:sectPr>
      </w:pPr>
    </w:p>
    <w:p w14:paraId="37D05544">
      <w:pPr>
        <w:pStyle w:val="208"/>
        <w:rPr>
          <w:rFonts w:hint="eastAsia"/>
        </w:rPr>
      </w:pPr>
      <w:bookmarkStart w:id="22" w:name="_Toc216964742"/>
      <w:r>
        <w:rPr>
          <w:rFonts w:hint="eastAsia"/>
        </w:rPr>
        <w:t>二、总体思路</w:t>
      </w:r>
      <w:bookmarkEnd w:id="22"/>
    </w:p>
    <w:p w14:paraId="4DF7C9C2">
      <w:pPr>
        <w:pStyle w:val="34"/>
      </w:pPr>
      <w:bookmarkStart w:id="23" w:name="_Toc216964743"/>
      <w:r>
        <w:rPr>
          <w:rFonts w:hint="eastAsia"/>
        </w:rPr>
        <w:t>（一）指导思想</w:t>
      </w:r>
      <w:bookmarkEnd w:id="23"/>
    </w:p>
    <w:p w14:paraId="5AF52E32">
      <w:pPr>
        <w:pStyle w:val="82"/>
        <w:ind w:firstLine="648"/>
      </w:pPr>
      <w:bookmarkStart w:id="24" w:name="_Hlk201603691"/>
      <w:r>
        <w:rPr>
          <w:rFonts w:hint="eastAsia"/>
        </w:rPr>
        <w:t>以习近平新时代中国特色社会主义思想为指导，深入贯彻党的二十大和二十届二中、三中全会精神，全面贯彻落实习近平总书记“节水优先、空间均衡、系统治理、两手发力”的治水思路和习近平总书记关于内蒙古工作的重要讲话和</w:t>
      </w:r>
      <w:r>
        <w:rPr>
          <w:rFonts w:hint="eastAsia"/>
          <w:lang w:eastAsia="zh-CN"/>
        </w:rPr>
        <w:t>重要</w:t>
      </w:r>
      <w:bookmarkStart w:id="239" w:name="_GoBack"/>
      <w:bookmarkEnd w:id="239"/>
      <w:r>
        <w:rPr>
          <w:rFonts w:hint="eastAsia"/>
        </w:rPr>
        <w:t>指示批示精神，</w:t>
      </w:r>
      <w:bookmarkStart w:id="25" w:name="_Hlk203507444"/>
      <w:r>
        <w:rPr>
          <w:rFonts w:hint="eastAsia"/>
        </w:rPr>
        <w:t>以</w:t>
      </w:r>
      <w:r>
        <w:t>铸牢中华民族共同体意识</w:t>
      </w:r>
      <w:r>
        <w:rPr>
          <w:rFonts w:hint="eastAsia"/>
        </w:rPr>
        <w:t>为</w:t>
      </w:r>
      <w:r>
        <w:t>主线</w:t>
      </w:r>
      <w:r>
        <w:rPr>
          <w:rFonts w:hint="eastAsia"/>
        </w:rPr>
        <w:t>，牢牢把握习近平总书记赋予内蒙古的“五大任务”战略定位，</w:t>
      </w:r>
      <w:bookmarkStart w:id="26" w:name="_Hlk205445821"/>
      <w:r>
        <w:rPr>
          <w:rFonts w:hint="eastAsia"/>
        </w:rPr>
        <w:t>贯彻落实国家“江河战略”，</w:t>
      </w:r>
      <w:bookmarkEnd w:id="26"/>
      <w:r>
        <w:rPr>
          <w:rFonts w:hint="eastAsia"/>
        </w:rPr>
        <w:t>立足以生态优先、绿色发展为导向</w:t>
      </w:r>
      <w:bookmarkEnd w:id="25"/>
      <w:r>
        <w:rPr>
          <w:rFonts w:hint="eastAsia"/>
        </w:rPr>
        <w:t>的高质量发展新路子的定位，锚定新阶段额尔古纳市水利高质量发展目标，主动融入东北水网</w:t>
      </w:r>
      <w:bookmarkEnd w:id="24"/>
      <w:r>
        <w:rPr>
          <w:rFonts w:hint="eastAsia"/>
        </w:rPr>
        <w:t>、自治区水网和呼伦贝尔市水网建设总体布局，以全面提升水安全保障能力为核心，</w:t>
      </w:r>
      <w:r>
        <w:rPr>
          <w:rFonts w:hint="eastAsia"/>
          <w:lang w:val="zh-CN"/>
        </w:rPr>
        <w:t>以联网、补网、强链为重点</w:t>
      </w:r>
      <w:r>
        <w:rPr>
          <w:lang w:val="zh-CN"/>
        </w:rPr>
        <w:t>，</w:t>
      </w:r>
      <w:r>
        <w:t>统筹存量和增量，</w:t>
      </w:r>
      <w:r>
        <w:rPr>
          <w:rFonts w:hint="eastAsia"/>
        </w:rPr>
        <w:t>加强互联互通，</w:t>
      </w:r>
      <w:r>
        <w:rPr>
          <w:rFonts w:hint="eastAsia"/>
          <w:lang w:val="zh-CN"/>
        </w:rPr>
        <w:t>全面</w:t>
      </w:r>
      <w:r>
        <w:rPr>
          <w:lang w:val="zh-CN"/>
        </w:rPr>
        <w:t>推进防洪排涝网、城乡供水</w:t>
      </w:r>
      <w:r>
        <w:rPr>
          <w:rFonts w:hint="eastAsia"/>
          <w:lang w:val="zh-CN"/>
        </w:rPr>
        <w:t>网</w:t>
      </w:r>
      <w:r>
        <w:rPr>
          <w:lang w:val="zh-CN"/>
        </w:rPr>
        <w:t>、灌溉排水网、河湖生态保护网、数字孪生水网</w:t>
      </w:r>
      <w:r>
        <w:rPr>
          <w:rFonts w:hint="eastAsia"/>
          <w:lang w:val="zh-CN"/>
        </w:rPr>
        <w:t>“</w:t>
      </w:r>
      <w:r>
        <w:rPr>
          <w:lang w:val="zh-CN"/>
        </w:rPr>
        <w:t>五网”建设，</w:t>
      </w:r>
      <w:r>
        <w:rPr>
          <w:rFonts w:hint="eastAsia"/>
          <w:lang w:val="zh-CN"/>
        </w:rPr>
        <w:t>着力推进水治理体系和治理能力现代化，</w:t>
      </w:r>
      <w:r>
        <w:rPr>
          <w:rFonts w:hint="eastAsia"/>
        </w:rPr>
        <w:t>为谱写额尔古纳“一城、三地”新篇章提供坚实的水安全保障。</w:t>
      </w:r>
    </w:p>
    <w:p w14:paraId="5FD1A1D9">
      <w:pPr>
        <w:pStyle w:val="34"/>
      </w:pPr>
      <w:bookmarkStart w:id="27" w:name="_Toc216964744"/>
      <w:r>
        <w:rPr>
          <w:rFonts w:hint="eastAsia"/>
        </w:rPr>
        <w:t>（二）基本原则</w:t>
      </w:r>
      <w:bookmarkEnd w:id="27"/>
    </w:p>
    <w:p w14:paraId="7209BEDF">
      <w:pPr>
        <w:pStyle w:val="82"/>
        <w:ind w:firstLine="651"/>
      </w:pPr>
      <w:r>
        <w:rPr>
          <w:rFonts w:hint="eastAsia"/>
          <w:b/>
          <w:bCs/>
        </w:rPr>
        <w:t>坚持生态优先、绿色发展</w:t>
      </w:r>
      <w:r>
        <w:rPr>
          <w:b/>
          <w:bCs/>
        </w:rPr>
        <w:t>。</w:t>
      </w:r>
      <w:r>
        <w:t>树立和践行绿水青山就是金山银山的理念，</w:t>
      </w:r>
      <w:r>
        <w:rPr>
          <w:rFonts w:hint="eastAsia"/>
        </w:rPr>
        <w:t>强化水生态空间管控，加强水生态保护修复，建设生态水利工程，</w:t>
      </w:r>
      <w:r>
        <w:t>维护</w:t>
      </w:r>
      <w:r>
        <w:rPr>
          <w:rFonts w:hint="eastAsia"/>
        </w:rPr>
        <w:t>额尔古纳</w:t>
      </w:r>
      <w:r>
        <w:t>水生态系统的完整性和稳定性，</w:t>
      </w:r>
      <w:r>
        <w:rPr>
          <w:rFonts w:hint="eastAsia"/>
        </w:rPr>
        <w:t>筑牢</w:t>
      </w:r>
      <w:r>
        <w:t>我国北方重要生态安全屏障。</w:t>
      </w:r>
    </w:p>
    <w:p w14:paraId="0F70693A">
      <w:pPr>
        <w:pStyle w:val="82"/>
        <w:ind w:firstLine="651"/>
      </w:pPr>
      <w:r>
        <w:rPr>
          <w:rFonts w:hint="eastAsia"/>
          <w:b/>
          <w:bCs/>
        </w:rPr>
        <w:t>坚持以人为本、保障民生。</w:t>
      </w:r>
      <w:r>
        <w:rPr>
          <w:rFonts w:hint="eastAsia"/>
        </w:rPr>
        <w:t>牢固树立以人民为中心的发展思想，把人民对美好生活的向往作为水网构建的出发点和落脚点，加快解决人民群众最关心、最直接、最现实的水安全问题，切实提升水安全公共服务均等化水平。</w:t>
      </w:r>
    </w:p>
    <w:p w14:paraId="268B6A12">
      <w:pPr>
        <w:pStyle w:val="82"/>
        <w:ind w:firstLine="651"/>
      </w:pPr>
      <w:r>
        <w:rPr>
          <w:rFonts w:hint="eastAsia"/>
          <w:b/>
          <w:bCs/>
        </w:rPr>
        <w:t>坚持节水优先、空间均衡。</w:t>
      </w:r>
      <w:r>
        <w:rPr>
          <w:rFonts w:hint="eastAsia"/>
        </w:rPr>
        <w:t>深入贯彻落实“四水四定”，把水资源节约集约利用作为实施额尔古纳水网工程的基本前提，因水制宜、量水而行，科学合理规划工程布局，优化配置水资源，提高水资源空间调配能力和区域承载能力。</w:t>
      </w:r>
    </w:p>
    <w:p w14:paraId="0254D1D7">
      <w:pPr>
        <w:pStyle w:val="82"/>
        <w:ind w:firstLine="651"/>
        <w:rPr>
          <w:b/>
          <w:bCs/>
        </w:rPr>
      </w:pPr>
      <w:r>
        <w:rPr>
          <w:rFonts w:hint="eastAsia"/>
          <w:b/>
          <w:bCs/>
        </w:rPr>
        <w:t>坚持统筹协同、长远谋划。</w:t>
      </w:r>
      <w:r>
        <w:rPr>
          <w:rFonts w:hint="eastAsia"/>
        </w:rPr>
        <w:t>准确把握额尔古纳水网在自治区水网、呼伦贝尔市水网中的定位，坚持“一盘棋”思维，挖掘额尔古纳市水资源潜力，充分发挥水网对区域重大战略及额尔古纳市经济社会高质量发展的支撑保障作用。</w:t>
      </w:r>
    </w:p>
    <w:p w14:paraId="50102FF3">
      <w:pPr>
        <w:pStyle w:val="82"/>
        <w:ind w:firstLine="651"/>
      </w:pPr>
      <w:r>
        <w:rPr>
          <w:b/>
          <w:bCs/>
        </w:rPr>
        <w:t>坚持改革创新、强化管理。</w:t>
      </w:r>
      <w:r>
        <w:rPr>
          <w:rFonts w:hint="eastAsia"/>
        </w:rPr>
        <w:t>坚持“两手发力”，以改革为动力，着力创新水治理体系，持续完善水治理体制机制建设，</w:t>
      </w:r>
      <w:r>
        <w:t>不断增强涉水管理</w:t>
      </w:r>
      <w:r>
        <w:rPr>
          <w:rFonts w:hint="eastAsia"/>
        </w:rPr>
        <w:t>能力水平</w:t>
      </w:r>
      <w:r>
        <w:t>，</w:t>
      </w:r>
      <w:r>
        <w:rPr>
          <w:rFonts w:hint="eastAsia"/>
        </w:rPr>
        <w:t>稳步提高水网业务的数字化、智能化、精细化水平。</w:t>
      </w:r>
    </w:p>
    <w:p w14:paraId="49F1ABFF">
      <w:pPr>
        <w:pStyle w:val="34"/>
      </w:pPr>
      <w:bookmarkStart w:id="28" w:name="_Toc216964745"/>
      <w:r>
        <w:rPr>
          <w:rFonts w:hint="eastAsia"/>
        </w:rPr>
        <w:t>（三）规划范围及水平年</w:t>
      </w:r>
      <w:bookmarkEnd w:id="28"/>
    </w:p>
    <w:p w14:paraId="1CC106B5">
      <w:pPr>
        <w:pStyle w:val="82"/>
        <w:ind w:firstLine="648"/>
      </w:pPr>
      <w:r>
        <w:rPr>
          <w:rFonts w:hint="eastAsia"/>
        </w:rPr>
        <w:t>规划范围覆盖额尔古纳全市，国土面积2.89万km</w:t>
      </w:r>
      <w:r>
        <w:rPr>
          <w:vertAlign w:val="superscript"/>
        </w:rPr>
        <w:t>2</w:t>
      </w:r>
      <w:r>
        <w:rPr>
          <w:rFonts w:hint="eastAsia"/>
        </w:rPr>
        <w:t>，包括2个街道、3个镇、3个乡、1个苏木，分别是拉布大林街道（原拉布大林镇）、上库力街道、莫尔道嘎镇、黑山头镇、恩和哈达镇、三河回族乡、恩和俄罗斯族民族乡、奇乾乡、蒙兀室韦苏木。</w:t>
      </w:r>
    </w:p>
    <w:p w14:paraId="4E19AF75">
      <w:pPr>
        <w:pStyle w:val="82"/>
        <w:ind w:firstLine="648"/>
      </w:pPr>
      <w:r>
        <w:rPr>
          <w:rFonts w:hint="eastAsia"/>
        </w:rPr>
        <w:t>现状水平年为2022年，规划水平年2035年，远景展望至2050年。</w:t>
      </w:r>
    </w:p>
    <w:p w14:paraId="61A65739">
      <w:pPr>
        <w:pStyle w:val="34"/>
      </w:pPr>
      <w:bookmarkStart w:id="29" w:name="_Toc216964746"/>
      <w:r>
        <w:rPr>
          <w:rFonts w:hint="eastAsia"/>
        </w:rPr>
        <w:t>（四）规划目标</w:t>
      </w:r>
      <w:bookmarkEnd w:id="29"/>
    </w:p>
    <w:p w14:paraId="4A204F6F">
      <w:pPr>
        <w:pStyle w:val="82"/>
        <w:ind w:firstLine="648"/>
      </w:pPr>
      <w:r>
        <w:rPr>
          <w:rFonts w:hint="eastAsia"/>
        </w:rPr>
        <w:t>到2035年，基本建成与基本实现社会主义现代化相适应的额尔古纳市水网。防洪减灾体系进一步完善，水旱灾害防御能力显著提升；水资源配置体系进一步优化，水资源全面节约和保障能力显著提升；水生态保护治理与价值转化体系基本建成，河湖一体化保护和系统治理能力明显提升；数字孪生水网基本建成，水网智慧化水平大幅提升。主要目标如下：</w:t>
      </w:r>
    </w:p>
    <w:p w14:paraId="08E06637">
      <w:pPr>
        <w:pStyle w:val="82"/>
        <w:ind w:firstLine="651"/>
      </w:pPr>
      <w:r>
        <w:rPr>
          <w:b/>
        </w:rPr>
        <w:t>——</w:t>
      </w:r>
      <w:r>
        <w:rPr>
          <w:rFonts w:hint="eastAsia"/>
          <w:b/>
        </w:rPr>
        <w:t>流域防洪减灾能力全面提高。</w:t>
      </w:r>
      <w:r>
        <w:rPr>
          <w:rFonts w:hint="eastAsia"/>
        </w:rPr>
        <w:t>额尔古纳市防洪减灾体系基本建立，洪涝灾害防御水平显著提升。主要支流和中小河流重点河段得到全面治理，1</w:t>
      </w:r>
      <w:r>
        <w:t>~</w:t>
      </w:r>
      <w:r>
        <w:rPr>
          <w:rFonts w:hint="eastAsia"/>
        </w:rPr>
        <w:t>5级堤防达标率达到</w:t>
      </w:r>
      <w:r>
        <w:t>100</w:t>
      </w:r>
      <w:r>
        <w:rPr>
          <w:rFonts w:hint="eastAsia"/>
        </w:rPr>
        <w:t>%。主城区达到50年一遇防洪标准，各乡镇达到</w:t>
      </w:r>
      <w:r>
        <w:t>2</w:t>
      </w:r>
      <w:r>
        <w:rPr>
          <w:rFonts w:hint="eastAsia"/>
        </w:rPr>
        <w:t>0年一遇防洪标准。山洪灾害防治能力显著增强，洪水风险管控能力显著提升。</w:t>
      </w:r>
    </w:p>
    <w:p w14:paraId="6C7C09EA">
      <w:pPr>
        <w:pStyle w:val="82"/>
        <w:ind w:firstLine="651"/>
      </w:pPr>
      <w:r>
        <w:rPr>
          <w:b/>
        </w:rPr>
        <w:t>——</w:t>
      </w:r>
      <w:r>
        <w:rPr>
          <w:rFonts w:hint="eastAsia"/>
          <w:b/>
        </w:rPr>
        <w:t>水资源调控能力与节约利用水平显著增强。</w:t>
      </w:r>
      <w:r>
        <w:rPr>
          <w:rFonts w:hint="eastAsia"/>
        </w:rPr>
        <w:t>节水型社会建设基本建成，用水结构基本合理，用水效率和效益逐步提高。全市用水总量控制在呼伦贝尔市下达的指标范围以内，万元工业增加值用水量下降至43.9m</w:t>
      </w:r>
      <w:r>
        <w:rPr>
          <w:rFonts w:hint="eastAsia"/>
          <w:vertAlign w:val="superscript"/>
        </w:rPr>
        <w:t>3</w:t>
      </w:r>
      <w:r>
        <w:rPr>
          <w:rFonts w:hint="eastAsia"/>
        </w:rPr>
        <w:t>/万元，城乡供水保障体系及应急备用水源体系基本建成，农村自来水普及率达到90</w:t>
      </w:r>
      <w:r>
        <w:t>%</w:t>
      </w:r>
      <w:r>
        <w:rPr>
          <w:rFonts w:hint="eastAsia"/>
        </w:rPr>
        <w:t>。农业灌溉供水保障体系逐步完善，农田灌溉水有效利用系数达到0.637，水土资源配置与灌溉发展布局更趋合理。空间均衡、协同调配的水资源配置体系基本建成。</w:t>
      </w:r>
    </w:p>
    <w:p w14:paraId="09ADBE2A">
      <w:pPr>
        <w:pStyle w:val="82"/>
        <w:ind w:firstLine="651"/>
      </w:pPr>
      <w:r>
        <w:rPr>
          <w:b/>
        </w:rPr>
        <w:t>——</w:t>
      </w:r>
      <w:r>
        <w:rPr>
          <w:rFonts w:hint="eastAsia"/>
          <w:b/>
        </w:rPr>
        <w:t>河湖水生态保护治理能力明显提升。</w:t>
      </w:r>
      <w:r>
        <w:t>主要河流生态流量得到有效保障</w:t>
      </w:r>
      <w:r>
        <w:rPr>
          <w:rFonts w:hint="eastAsia"/>
        </w:rPr>
        <w:t>，水域空间得以维护，水生生物得到有效保护，河湖滨水生态系统更加健康，</w:t>
      </w:r>
      <w:r>
        <w:t>河湖水域面积不萎缩，生态系统结构和功能得到持续改善和优化</w:t>
      </w:r>
      <w:r>
        <w:rPr>
          <w:rFonts w:hint="eastAsia"/>
        </w:rPr>
        <w:t>。建成与额尔古纳市社会经济发展相适应的水土流失综合防治体系，实现全面预防保护，重点防治地区的水土流失得到全面治理，水土保持率维持在98.84%。</w:t>
      </w:r>
    </w:p>
    <w:p w14:paraId="7E9AAA5F">
      <w:pPr>
        <w:pStyle w:val="82"/>
        <w:ind w:firstLine="651"/>
        <w:rPr>
          <w:b/>
        </w:rPr>
      </w:pPr>
      <w:r>
        <w:rPr>
          <w:b/>
        </w:rPr>
        <w:t>——</w:t>
      </w:r>
      <w:r>
        <w:rPr>
          <w:rFonts w:hint="eastAsia"/>
          <w:b/>
        </w:rPr>
        <w:t>水网智能化水平全面提升。</w:t>
      </w:r>
      <w:r>
        <w:rPr>
          <w:rFonts w:hint="eastAsia"/>
          <w:bCs/>
        </w:rPr>
        <w:t>水利感知网、水利信息网不断完善，云平台与数字孪生平台基本建成，智能应用系统不断健全，水利智慧化水平明显提升，信息化基础建设对水利现代化的引领作用显著增强，全面建成“感知广泛、处理高效、协同智能、安全可靠”的数字孪生水网体系。重要水利工程数字孪生覆盖率达到67%以上。</w:t>
      </w:r>
    </w:p>
    <w:p w14:paraId="29F3E2C1">
      <w:pPr>
        <w:pStyle w:val="82"/>
        <w:ind w:firstLine="651"/>
      </w:pPr>
      <w:r>
        <w:rPr>
          <w:b/>
        </w:rPr>
        <w:t>——</w:t>
      </w:r>
      <w:r>
        <w:rPr>
          <w:rFonts w:hint="eastAsia"/>
          <w:b/>
        </w:rPr>
        <w:t>水利治理体系不断完善。</w:t>
      </w:r>
      <w:r>
        <w:rPr>
          <w:rFonts w:hint="eastAsia"/>
        </w:rPr>
        <w:t>水利治理体系不断完善，水网现代化管理服务水平显著提高，河湖长制持续深化，水管机制改革取得明显突破，水价、水权、水市场改革稳步推进，水利投融资体制机制进一步创新，水利工程安全保护制度初步建立。水利治理能力不断提升，水法规体系和水利规划体系不断完善，依法治水管水水平提高，科技兴水、人才队伍建设等方面取得突破。</w:t>
      </w:r>
    </w:p>
    <w:p w14:paraId="177C7C50">
      <w:pPr>
        <w:pStyle w:val="82"/>
        <w:ind w:firstLine="648"/>
        <w:rPr>
          <w:rFonts w:eastAsia="黑体" w:cstheme="minorBidi"/>
          <w:snapToGrid w:val="0"/>
          <w:kern w:val="2"/>
          <w:sz w:val="24"/>
        </w:rPr>
      </w:pPr>
      <w:r>
        <w:rPr>
          <w:rFonts w:hint="eastAsia"/>
        </w:rPr>
        <w:t>展望到2050年，全面建成与社会主义现代化相适应的额尔古纳水网，额尔古纳市水安全保障能力全面提升。空间均衡的水资源配置体系和供水保障体系全面建成，安全可靠的流域防洪减灾体系全面建成，绿色生态的幸福河湖体系全面建成，“四预”功能完备的数字孪生水网体系全面建成。</w:t>
      </w:r>
    </w:p>
    <w:p w14:paraId="1A0ECFDA">
      <w:pPr>
        <w:pStyle w:val="121"/>
      </w:pPr>
      <w:r>
        <w:rPr>
          <w:rFonts w:hint="eastAsia"/>
        </w:rPr>
        <w:t>表2.3-1 规划目标指标</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518"/>
        <w:gridCol w:w="3203"/>
        <w:gridCol w:w="1019"/>
        <w:gridCol w:w="1021"/>
        <w:gridCol w:w="1243"/>
        <w:gridCol w:w="731"/>
      </w:tblGrid>
      <w:tr w14:paraId="188B8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462" w:type="pct"/>
            <w:vAlign w:val="center"/>
          </w:tcPr>
          <w:p w14:paraId="72673611">
            <w:pPr>
              <w:pStyle w:val="111"/>
              <w:spacing w:line="240" w:lineRule="auto"/>
              <w:ind w:left="-100" w:leftChars="-50" w:right="-100" w:rightChars="-50"/>
              <w:rPr>
                <w:b/>
                <w:sz w:val="21"/>
                <w:szCs w:val="21"/>
              </w:rPr>
            </w:pPr>
            <w:bookmarkStart w:id="30" w:name="RANGE!J30"/>
            <w:r>
              <w:rPr>
                <w:rFonts w:hint="eastAsia"/>
                <w:b/>
                <w:sz w:val="21"/>
                <w:szCs w:val="21"/>
              </w:rPr>
              <w:t>指标</w:t>
            </w:r>
          </w:p>
          <w:p w14:paraId="3EA19617">
            <w:pPr>
              <w:pStyle w:val="111"/>
              <w:spacing w:line="240" w:lineRule="auto"/>
              <w:ind w:left="-100" w:leftChars="-50" w:right="-100" w:rightChars="-50"/>
              <w:rPr>
                <w:b/>
                <w:sz w:val="21"/>
                <w:szCs w:val="21"/>
              </w:rPr>
            </w:pPr>
            <w:r>
              <w:rPr>
                <w:rFonts w:hint="eastAsia"/>
                <w:b/>
                <w:sz w:val="21"/>
                <w:szCs w:val="21"/>
              </w:rPr>
              <w:t>类型</w:t>
            </w:r>
            <w:bookmarkEnd w:id="30"/>
          </w:p>
        </w:tc>
        <w:tc>
          <w:tcPr>
            <w:tcW w:w="304" w:type="pct"/>
            <w:vAlign w:val="center"/>
          </w:tcPr>
          <w:p w14:paraId="6E1B4A2C">
            <w:pPr>
              <w:pStyle w:val="111"/>
              <w:spacing w:line="240" w:lineRule="auto"/>
              <w:ind w:left="-100" w:leftChars="-50" w:right="-100" w:rightChars="-50"/>
              <w:rPr>
                <w:b/>
                <w:sz w:val="21"/>
                <w:szCs w:val="21"/>
              </w:rPr>
            </w:pPr>
            <w:bookmarkStart w:id="31" w:name="RANGE!K30"/>
            <w:r>
              <w:rPr>
                <w:rFonts w:hint="eastAsia"/>
                <w:b/>
                <w:sz w:val="21"/>
                <w:szCs w:val="21"/>
              </w:rPr>
              <w:t>序号</w:t>
            </w:r>
            <w:bookmarkEnd w:id="31"/>
          </w:p>
        </w:tc>
        <w:tc>
          <w:tcPr>
            <w:tcW w:w="1879" w:type="pct"/>
            <w:vAlign w:val="center"/>
          </w:tcPr>
          <w:p w14:paraId="3D618524">
            <w:pPr>
              <w:pStyle w:val="111"/>
              <w:spacing w:line="240" w:lineRule="auto"/>
              <w:ind w:left="-100" w:leftChars="-50" w:right="-100" w:rightChars="-50"/>
              <w:rPr>
                <w:b/>
                <w:sz w:val="21"/>
                <w:szCs w:val="21"/>
              </w:rPr>
            </w:pPr>
            <w:bookmarkStart w:id="32" w:name="RANGE!L30"/>
            <w:r>
              <w:rPr>
                <w:rFonts w:hint="eastAsia"/>
                <w:b/>
                <w:sz w:val="21"/>
                <w:szCs w:val="21"/>
              </w:rPr>
              <w:t>指标名称</w:t>
            </w:r>
            <w:bookmarkEnd w:id="32"/>
          </w:p>
        </w:tc>
        <w:tc>
          <w:tcPr>
            <w:tcW w:w="598" w:type="pct"/>
            <w:vAlign w:val="center"/>
          </w:tcPr>
          <w:p w14:paraId="3B312781">
            <w:pPr>
              <w:pStyle w:val="111"/>
              <w:spacing w:line="240" w:lineRule="auto"/>
              <w:ind w:left="-100" w:leftChars="-50" w:right="-100" w:rightChars="-50"/>
              <w:rPr>
                <w:b/>
                <w:sz w:val="21"/>
                <w:szCs w:val="21"/>
              </w:rPr>
            </w:pPr>
            <w:r>
              <w:rPr>
                <w:rFonts w:hint="eastAsia"/>
                <w:b/>
                <w:sz w:val="21"/>
                <w:szCs w:val="21"/>
              </w:rPr>
              <w:t>单位</w:t>
            </w:r>
          </w:p>
        </w:tc>
        <w:tc>
          <w:tcPr>
            <w:tcW w:w="599" w:type="pct"/>
            <w:vAlign w:val="center"/>
          </w:tcPr>
          <w:p w14:paraId="530128BF">
            <w:pPr>
              <w:pStyle w:val="111"/>
              <w:spacing w:line="240" w:lineRule="auto"/>
              <w:ind w:left="-100" w:leftChars="-50" w:right="-100" w:rightChars="-50"/>
              <w:rPr>
                <w:b/>
                <w:sz w:val="21"/>
                <w:szCs w:val="21"/>
              </w:rPr>
            </w:pPr>
            <w:r>
              <w:rPr>
                <w:rFonts w:hint="eastAsia"/>
                <w:b/>
                <w:sz w:val="21"/>
                <w:szCs w:val="21"/>
              </w:rPr>
              <w:t>基准年</w:t>
            </w:r>
          </w:p>
        </w:tc>
        <w:tc>
          <w:tcPr>
            <w:tcW w:w="729" w:type="pct"/>
            <w:vAlign w:val="center"/>
          </w:tcPr>
          <w:p w14:paraId="3C72925C">
            <w:pPr>
              <w:pStyle w:val="111"/>
              <w:spacing w:line="240" w:lineRule="auto"/>
              <w:ind w:left="-100" w:leftChars="-50" w:right="-100" w:rightChars="-50"/>
              <w:rPr>
                <w:b/>
                <w:sz w:val="21"/>
                <w:szCs w:val="21"/>
              </w:rPr>
            </w:pPr>
            <w:bookmarkStart w:id="33" w:name="RANGE!O30"/>
            <w:r>
              <w:rPr>
                <w:b/>
                <w:sz w:val="21"/>
                <w:szCs w:val="21"/>
              </w:rPr>
              <w:t>20</w:t>
            </w:r>
            <w:r>
              <w:rPr>
                <w:rFonts w:hint="eastAsia"/>
                <w:b/>
                <w:sz w:val="21"/>
                <w:szCs w:val="21"/>
              </w:rPr>
              <w:t>35年</w:t>
            </w:r>
            <w:bookmarkEnd w:id="33"/>
          </w:p>
        </w:tc>
        <w:tc>
          <w:tcPr>
            <w:tcW w:w="429" w:type="pct"/>
            <w:vAlign w:val="center"/>
          </w:tcPr>
          <w:p w14:paraId="45B62460">
            <w:pPr>
              <w:pStyle w:val="111"/>
              <w:spacing w:line="240" w:lineRule="auto"/>
              <w:ind w:left="-100" w:leftChars="-50" w:right="-100" w:rightChars="-50"/>
              <w:rPr>
                <w:b/>
                <w:sz w:val="21"/>
                <w:szCs w:val="21"/>
              </w:rPr>
            </w:pPr>
            <w:r>
              <w:rPr>
                <w:rFonts w:hint="eastAsia"/>
                <w:b/>
                <w:sz w:val="21"/>
                <w:szCs w:val="21"/>
              </w:rPr>
              <w:t>指标</w:t>
            </w:r>
          </w:p>
          <w:p w14:paraId="3599F530">
            <w:pPr>
              <w:pStyle w:val="111"/>
              <w:spacing w:line="240" w:lineRule="auto"/>
              <w:ind w:left="-100" w:leftChars="-50" w:right="-100" w:rightChars="-50"/>
              <w:rPr>
                <w:b/>
                <w:sz w:val="21"/>
                <w:szCs w:val="21"/>
              </w:rPr>
            </w:pPr>
            <w:r>
              <w:rPr>
                <w:rFonts w:hint="eastAsia"/>
                <w:b/>
                <w:sz w:val="21"/>
                <w:szCs w:val="21"/>
              </w:rPr>
              <w:t>属性</w:t>
            </w:r>
          </w:p>
        </w:tc>
      </w:tr>
      <w:tr w14:paraId="1F1B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2" w:type="pct"/>
            <w:vAlign w:val="center"/>
          </w:tcPr>
          <w:p w14:paraId="3FE8B1FC">
            <w:pPr>
              <w:pStyle w:val="111"/>
              <w:spacing w:line="240" w:lineRule="auto"/>
              <w:ind w:left="-100" w:leftChars="-50" w:right="-100" w:rightChars="-50"/>
              <w:rPr>
                <w:bCs/>
                <w:sz w:val="21"/>
                <w:szCs w:val="21"/>
              </w:rPr>
            </w:pPr>
            <w:bookmarkStart w:id="34" w:name="RANGE!J42"/>
            <w:r>
              <w:rPr>
                <w:rFonts w:hint="eastAsia"/>
                <w:bCs/>
                <w:sz w:val="21"/>
                <w:szCs w:val="21"/>
              </w:rPr>
              <w:t>防洪排涝减灾</w:t>
            </w:r>
            <w:bookmarkEnd w:id="34"/>
          </w:p>
        </w:tc>
        <w:tc>
          <w:tcPr>
            <w:tcW w:w="304" w:type="pct"/>
            <w:vAlign w:val="center"/>
          </w:tcPr>
          <w:p w14:paraId="056B056D">
            <w:pPr>
              <w:pStyle w:val="111"/>
              <w:spacing w:line="240" w:lineRule="auto"/>
              <w:ind w:left="-100" w:leftChars="-50" w:right="-100" w:rightChars="-50"/>
              <w:rPr>
                <w:bCs/>
                <w:sz w:val="21"/>
                <w:szCs w:val="21"/>
              </w:rPr>
            </w:pPr>
            <w:r>
              <w:rPr>
                <w:rFonts w:hint="eastAsia"/>
                <w:bCs/>
                <w:sz w:val="21"/>
                <w:szCs w:val="21"/>
              </w:rPr>
              <w:t>1</w:t>
            </w:r>
          </w:p>
        </w:tc>
        <w:tc>
          <w:tcPr>
            <w:tcW w:w="1879" w:type="pct"/>
            <w:vAlign w:val="center"/>
          </w:tcPr>
          <w:p w14:paraId="3E6DD242">
            <w:pPr>
              <w:pStyle w:val="111"/>
              <w:spacing w:line="240" w:lineRule="auto"/>
              <w:ind w:left="-100" w:leftChars="-50" w:right="-100" w:rightChars="-50"/>
              <w:rPr>
                <w:bCs/>
                <w:sz w:val="21"/>
                <w:szCs w:val="21"/>
              </w:rPr>
            </w:pPr>
            <w:r>
              <w:rPr>
                <w:rFonts w:hint="eastAsia"/>
                <w:bCs/>
                <w:sz w:val="21"/>
                <w:szCs w:val="21"/>
              </w:rPr>
              <w:t>河道堤防达标率</w:t>
            </w:r>
          </w:p>
        </w:tc>
        <w:tc>
          <w:tcPr>
            <w:tcW w:w="598" w:type="pct"/>
            <w:vAlign w:val="center"/>
          </w:tcPr>
          <w:p w14:paraId="1F101EB0">
            <w:pPr>
              <w:pStyle w:val="111"/>
              <w:spacing w:line="240" w:lineRule="auto"/>
              <w:ind w:left="-100" w:leftChars="-50" w:right="-100" w:rightChars="-50"/>
              <w:rPr>
                <w:bCs/>
                <w:sz w:val="21"/>
                <w:szCs w:val="21"/>
              </w:rPr>
            </w:pPr>
            <w:r>
              <w:rPr>
                <w:rFonts w:hint="eastAsia"/>
                <w:bCs/>
                <w:sz w:val="21"/>
                <w:szCs w:val="21"/>
              </w:rPr>
              <w:t>%</w:t>
            </w:r>
          </w:p>
        </w:tc>
        <w:tc>
          <w:tcPr>
            <w:tcW w:w="599" w:type="pct"/>
            <w:vAlign w:val="center"/>
          </w:tcPr>
          <w:p w14:paraId="1646DF13">
            <w:pPr>
              <w:pStyle w:val="111"/>
              <w:spacing w:line="240" w:lineRule="auto"/>
              <w:ind w:left="-100" w:leftChars="-50" w:right="-100" w:rightChars="-50"/>
              <w:rPr>
                <w:bCs/>
                <w:sz w:val="21"/>
                <w:szCs w:val="21"/>
              </w:rPr>
            </w:pPr>
            <w:r>
              <w:rPr>
                <w:bCs/>
                <w:sz w:val="21"/>
                <w:szCs w:val="21"/>
              </w:rPr>
              <w:t>96.8</w:t>
            </w:r>
          </w:p>
        </w:tc>
        <w:tc>
          <w:tcPr>
            <w:tcW w:w="729" w:type="pct"/>
            <w:vAlign w:val="center"/>
          </w:tcPr>
          <w:p w14:paraId="4136A677">
            <w:pPr>
              <w:pStyle w:val="111"/>
              <w:spacing w:line="240" w:lineRule="auto"/>
              <w:ind w:left="-100" w:leftChars="-50" w:right="-100" w:rightChars="-50"/>
              <w:rPr>
                <w:bCs/>
                <w:sz w:val="21"/>
                <w:szCs w:val="21"/>
              </w:rPr>
            </w:pPr>
            <w:r>
              <w:rPr>
                <w:bCs/>
                <w:sz w:val="21"/>
                <w:szCs w:val="21"/>
              </w:rPr>
              <w:t>100</w:t>
            </w:r>
          </w:p>
        </w:tc>
        <w:tc>
          <w:tcPr>
            <w:tcW w:w="429" w:type="pct"/>
            <w:vAlign w:val="center"/>
          </w:tcPr>
          <w:p w14:paraId="7D584731">
            <w:pPr>
              <w:pStyle w:val="111"/>
              <w:spacing w:line="240" w:lineRule="auto"/>
              <w:ind w:left="-100" w:leftChars="-50" w:right="-100" w:rightChars="-50"/>
              <w:rPr>
                <w:b/>
                <w:sz w:val="21"/>
                <w:szCs w:val="21"/>
              </w:rPr>
            </w:pPr>
            <w:r>
              <w:rPr>
                <w:sz w:val="21"/>
                <w:szCs w:val="21"/>
              </w:rPr>
              <w:t>预期性</w:t>
            </w:r>
          </w:p>
        </w:tc>
      </w:tr>
      <w:tr w14:paraId="6008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62" w:type="pct"/>
            <w:vMerge w:val="restart"/>
            <w:vAlign w:val="center"/>
          </w:tcPr>
          <w:p w14:paraId="3DB2A417">
            <w:pPr>
              <w:pStyle w:val="111"/>
              <w:spacing w:line="240" w:lineRule="auto"/>
              <w:ind w:left="-100" w:leftChars="-50" w:right="-100" w:rightChars="-50"/>
              <w:rPr>
                <w:bCs/>
                <w:sz w:val="21"/>
                <w:szCs w:val="21"/>
              </w:rPr>
            </w:pPr>
            <w:r>
              <w:rPr>
                <w:rFonts w:hint="eastAsia"/>
                <w:bCs/>
                <w:sz w:val="21"/>
                <w:szCs w:val="21"/>
              </w:rPr>
              <w:t>水资源保障与配置</w:t>
            </w:r>
          </w:p>
        </w:tc>
        <w:tc>
          <w:tcPr>
            <w:tcW w:w="304" w:type="pct"/>
            <w:vAlign w:val="center"/>
          </w:tcPr>
          <w:p w14:paraId="1E081450">
            <w:pPr>
              <w:pStyle w:val="111"/>
              <w:spacing w:line="240" w:lineRule="auto"/>
              <w:ind w:left="-100" w:leftChars="-50" w:right="-100" w:rightChars="-50"/>
              <w:rPr>
                <w:bCs/>
                <w:sz w:val="21"/>
                <w:szCs w:val="21"/>
              </w:rPr>
            </w:pPr>
            <w:r>
              <w:rPr>
                <w:rFonts w:hint="eastAsia"/>
                <w:bCs/>
                <w:sz w:val="21"/>
                <w:szCs w:val="21"/>
              </w:rPr>
              <w:t>2</w:t>
            </w:r>
          </w:p>
        </w:tc>
        <w:tc>
          <w:tcPr>
            <w:tcW w:w="1879" w:type="pct"/>
            <w:vAlign w:val="center"/>
          </w:tcPr>
          <w:p w14:paraId="6E2F6276">
            <w:pPr>
              <w:pStyle w:val="111"/>
              <w:spacing w:line="240" w:lineRule="auto"/>
              <w:ind w:left="-100" w:leftChars="-50" w:right="-100" w:rightChars="-50"/>
              <w:rPr>
                <w:bCs/>
                <w:sz w:val="21"/>
                <w:szCs w:val="21"/>
              </w:rPr>
            </w:pPr>
            <w:r>
              <w:rPr>
                <w:rFonts w:hint="eastAsia"/>
                <w:bCs/>
                <w:sz w:val="21"/>
                <w:szCs w:val="21"/>
              </w:rPr>
              <w:t>用水总量</w:t>
            </w:r>
          </w:p>
        </w:tc>
        <w:tc>
          <w:tcPr>
            <w:tcW w:w="598" w:type="pct"/>
            <w:vAlign w:val="center"/>
          </w:tcPr>
          <w:p w14:paraId="44481587">
            <w:pPr>
              <w:pStyle w:val="111"/>
              <w:spacing w:line="240" w:lineRule="auto"/>
              <w:ind w:left="-100" w:leftChars="-50" w:right="-100" w:rightChars="-50"/>
              <w:rPr>
                <w:bCs/>
                <w:sz w:val="21"/>
                <w:szCs w:val="21"/>
              </w:rPr>
            </w:pPr>
            <w:r>
              <w:rPr>
                <w:rFonts w:hint="eastAsia"/>
                <w:bCs/>
                <w:sz w:val="21"/>
                <w:szCs w:val="21"/>
              </w:rPr>
              <w:t>亿m</w:t>
            </w:r>
            <w:r>
              <w:rPr>
                <w:rFonts w:hint="eastAsia"/>
                <w:bCs/>
                <w:sz w:val="21"/>
                <w:szCs w:val="21"/>
                <w:vertAlign w:val="superscript"/>
              </w:rPr>
              <w:t>3</w:t>
            </w:r>
          </w:p>
        </w:tc>
        <w:tc>
          <w:tcPr>
            <w:tcW w:w="599" w:type="pct"/>
            <w:vAlign w:val="center"/>
          </w:tcPr>
          <w:p w14:paraId="31C3AA95">
            <w:pPr>
              <w:pStyle w:val="111"/>
              <w:spacing w:line="240" w:lineRule="auto"/>
              <w:ind w:left="-100" w:leftChars="-50" w:right="-100" w:rightChars="-50"/>
              <w:rPr>
                <w:bCs/>
                <w:sz w:val="21"/>
                <w:szCs w:val="21"/>
              </w:rPr>
            </w:pPr>
            <w:r>
              <w:rPr>
                <w:rFonts w:hint="eastAsia"/>
                <w:bCs/>
                <w:sz w:val="21"/>
                <w:szCs w:val="21"/>
              </w:rPr>
              <w:t>0.76</w:t>
            </w:r>
          </w:p>
        </w:tc>
        <w:tc>
          <w:tcPr>
            <w:tcW w:w="729" w:type="pct"/>
            <w:vAlign w:val="center"/>
          </w:tcPr>
          <w:p w14:paraId="4BBA6BA8">
            <w:pPr>
              <w:pStyle w:val="111"/>
              <w:spacing w:line="240" w:lineRule="auto"/>
              <w:ind w:left="-100" w:leftChars="-50" w:right="-100" w:rightChars="-50"/>
              <w:rPr>
                <w:sz w:val="21"/>
                <w:szCs w:val="21"/>
              </w:rPr>
            </w:pPr>
            <w:r>
              <w:rPr>
                <w:rFonts w:hint="eastAsia"/>
                <w:sz w:val="21"/>
                <w:szCs w:val="21"/>
              </w:rPr>
              <w:t>满足市级下达指标要求</w:t>
            </w:r>
          </w:p>
        </w:tc>
        <w:tc>
          <w:tcPr>
            <w:tcW w:w="429" w:type="pct"/>
            <w:vAlign w:val="center"/>
          </w:tcPr>
          <w:p w14:paraId="7E9BDFBA">
            <w:pPr>
              <w:pStyle w:val="111"/>
              <w:spacing w:line="240" w:lineRule="auto"/>
              <w:ind w:left="-100" w:leftChars="-50" w:right="-100" w:rightChars="-50"/>
              <w:rPr>
                <w:sz w:val="21"/>
                <w:szCs w:val="21"/>
              </w:rPr>
            </w:pPr>
            <w:r>
              <w:rPr>
                <w:rFonts w:hint="eastAsia"/>
                <w:sz w:val="21"/>
                <w:szCs w:val="21"/>
              </w:rPr>
              <w:t>约束性</w:t>
            </w:r>
          </w:p>
        </w:tc>
      </w:tr>
      <w:tr w14:paraId="71CB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62" w:type="pct"/>
            <w:vMerge w:val="continue"/>
            <w:vAlign w:val="center"/>
          </w:tcPr>
          <w:p w14:paraId="458A5774">
            <w:pPr>
              <w:pStyle w:val="111"/>
              <w:spacing w:line="240" w:lineRule="auto"/>
              <w:ind w:left="-100" w:leftChars="-50" w:right="-100" w:rightChars="-50"/>
              <w:rPr>
                <w:bCs/>
                <w:sz w:val="21"/>
                <w:szCs w:val="21"/>
              </w:rPr>
            </w:pPr>
          </w:p>
        </w:tc>
        <w:tc>
          <w:tcPr>
            <w:tcW w:w="304" w:type="pct"/>
            <w:vAlign w:val="center"/>
          </w:tcPr>
          <w:p w14:paraId="76F6A289">
            <w:pPr>
              <w:pStyle w:val="111"/>
              <w:spacing w:line="240" w:lineRule="auto"/>
              <w:ind w:left="-100" w:leftChars="-50" w:right="-100" w:rightChars="-50"/>
              <w:rPr>
                <w:bCs/>
                <w:sz w:val="21"/>
                <w:szCs w:val="21"/>
              </w:rPr>
            </w:pPr>
            <w:r>
              <w:rPr>
                <w:rFonts w:hint="eastAsia"/>
                <w:bCs/>
                <w:sz w:val="21"/>
                <w:szCs w:val="21"/>
              </w:rPr>
              <w:t>3</w:t>
            </w:r>
          </w:p>
        </w:tc>
        <w:tc>
          <w:tcPr>
            <w:tcW w:w="1879" w:type="pct"/>
            <w:vAlign w:val="center"/>
          </w:tcPr>
          <w:p w14:paraId="36D17083">
            <w:pPr>
              <w:pStyle w:val="111"/>
              <w:spacing w:line="240" w:lineRule="auto"/>
              <w:ind w:left="-100" w:leftChars="-50" w:right="-100" w:rightChars="-50"/>
              <w:rPr>
                <w:bCs/>
                <w:sz w:val="21"/>
                <w:szCs w:val="21"/>
              </w:rPr>
            </w:pPr>
            <w:r>
              <w:rPr>
                <w:rFonts w:hint="eastAsia"/>
                <w:bCs/>
                <w:sz w:val="21"/>
                <w:szCs w:val="21"/>
              </w:rPr>
              <w:t>万元工业增加值用水量</w:t>
            </w:r>
          </w:p>
        </w:tc>
        <w:tc>
          <w:tcPr>
            <w:tcW w:w="598" w:type="pct"/>
            <w:vAlign w:val="center"/>
          </w:tcPr>
          <w:p w14:paraId="539FFB97">
            <w:pPr>
              <w:pStyle w:val="111"/>
              <w:spacing w:line="240" w:lineRule="auto"/>
              <w:ind w:left="-100" w:leftChars="-50" w:right="-100" w:rightChars="-50"/>
              <w:rPr>
                <w:bCs/>
                <w:sz w:val="21"/>
                <w:szCs w:val="21"/>
              </w:rPr>
            </w:pPr>
            <w:r>
              <w:rPr>
                <w:rFonts w:hint="eastAsia"/>
                <w:bCs/>
                <w:sz w:val="21"/>
                <w:szCs w:val="21"/>
              </w:rPr>
              <w:t>m</w:t>
            </w:r>
            <w:r>
              <w:rPr>
                <w:rFonts w:hint="eastAsia"/>
                <w:bCs/>
                <w:sz w:val="21"/>
                <w:szCs w:val="21"/>
                <w:vertAlign w:val="superscript"/>
              </w:rPr>
              <w:t>3</w:t>
            </w:r>
            <w:r>
              <w:rPr>
                <w:rFonts w:hint="eastAsia"/>
                <w:bCs/>
                <w:sz w:val="21"/>
                <w:szCs w:val="21"/>
              </w:rPr>
              <w:t>/万元</w:t>
            </w:r>
          </w:p>
        </w:tc>
        <w:tc>
          <w:tcPr>
            <w:tcW w:w="599" w:type="pct"/>
            <w:vAlign w:val="center"/>
          </w:tcPr>
          <w:p w14:paraId="0A4A1CBD">
            <w:pPr>
              <w:pStyle w:val="111"/>
              <w:spacing w:line="240" w:lineRule="auto"/>
              <w:ind w:left="-100" w:leftChars="-50" w:right="-100" w:rightChars="-50"/>
              <w:rPr>
                <w:bCs/>
                <w:sz w:val="21"/>
                <w:szCs w:val="21"/>
              </w:rPr>
            </w:pPr>
            <w:r>
              <w:rPr>
                <w:rFonts w:hint="eastAsia"/>
                <w:bCs/>
                <w:sz w:val="21"/>
                <w:szCs w:val="21"/>
              </w:rPr>
              <w:t>51.6</w:t>
            </w:r>
          </w:p>
        </w:tc>
        <w:tc>
          <w:tcPr>
            <w:tcW w:w="729" w:type="pct"/>
            <w:vAlign w:val="center"/>
          </w:tcPr>
          <w:p w14:paraId="7A2B14DC">
            <w:pPr>
              <w:pStyle w:val="111"/>
              <w:spacing w:line="240" w:lineRule="auto"/>
              <w:ind w:left="-100" w:leftChars="-50" w:right="-100" w:rightChars="-50"/>
              <w:rPr>
                <w:sz w:val="21"/>
                <w:szCs w:val="21"/>
              </w:rPr>
            </w:pPr>
            <w:r>
              <w:rPr>
                <w:rFonts w:hint="eastAsia"/>
                <w:sz w:val="21"/>
                <w:szCs w:val="21"/>
              </w:rPr>
              <w:t>43.9</w:t>
            </w:r>
          </w:p>
        </w:tc>
        <w:tc>
          <w:tcPr>
            <w:tcW w:w="429" w:type="pct"/>
            <w:vAlign w:val="center"/>
          </w:tcPr>
          <w:p w14:paraId="2ECE4639">
            <w:pPr>
              <w:pStyle w:val="111"/>
              <w:spacing w:line="240" w:lineRule="auto"/>
              <w:ind w:left="-100" w:leftChars="-50" w:right="-100" w:rightChars="-50"/>
              <w:rPr>
                <w:sz w:val="21"/>
                <w:szCs w:val="21"/>
              </w:rPr>
            </w:pPr>
            <w:r>
              <w:rPr>
                <w:rFonts w:hint="eastAsia"/>
                <w:sz w:val="21"/>
                <w:szCs w:val="21"/>
              </w:rPr>
              <w:t>约束性</w:t>
            </w:r>
          </w:p>
        </w:tc>
      </w:tr>
      <w:tr w14:paraId="6D3F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2" w:type="pct"/>
            <w:vMerge w:val="continue"/>
            <w:vAlign w:val="center"/>
          </w:tcPr>
          <w:p w14:paraId="120EAB45">
            <w:pPr>
              <w:pStyle w:val="111"/>
              <w:spacing w:line="240" w:lineRule="auto"/>
              <w:ind w:left="-100" w:leftChars="-50" w:right="-100" w:rightChars="-50"/>
              <w:rPr>
                <w:bCs/>
                <w:sz w:val="21"/>
                <w:szCs w:val="21"/>
              </w:rPr>
            </w:pPr>
          </w:p>
        </w:tc>
        <w:tc>
          <w:tcPr>
            <w:tcW w:w="304" w:type="pct"/>
            <w:vAlign w:val="center"/>
          </w:tcPr>
          <w:p w14:paraId="75358C4B">
            <w:pPr>
              <w:pStyle w:val="111"/>
              <w:spacing w:line="240" w:lineRule="auto"/>
              <w:ind w:left="-100" w:leftChars="-50" w:right="-100" w:rightChars="-50"/>
              <w:rPr>
                <w:bCs/>
                <w:sz w:val="21"/>
                <w:szCs w:val="21"/>
              </w:rPr>
            </w:pPr>
            <w:r>
              <w:rPr>
                <w:rFonts w:hint="eastAsia"/>
                <w:bCs/>
                <w:sz w:val="21"/>
                <w:szCs w:val="21"/>
              </w:rPr>
              <w:t>4</w:t>
            </w:r>
          </w:p>
        </w:tc>
        <w:tc>
          <w:tcPr>
            <w:tcW w:w="1879" w:type="pct"/>
            <w:vAlign w:val="center"/>
          </w:tcPr>
          <w:p w14:paraId="6C1F781D">
            <w:pPr>
              <w:pStyle w:val="111"/>
              <w:spacing w:line="240" w:lineRule="auto"/>
              <w:ind w:left="-100" w:leftChars="-50" w:right="-100" w:rightChars="-50"/>
              <w:rPr>
                <w:bCs/>
                <w:sz w:val="21"/>
                <w:szCs w:val="21"/>
              </w:rPr>
            </w:pPr>
            <w:r>
              <w:rPr>
                <w:rFonts w:hint="eastAsia"/>
                <w:bCs/>
                <w:sz w:val="21"/>
                <w:szCs w:val="21"/>
              </w:rPr>
              <w:t>农田灌溉水有效利用系数</w:t>
            </w:r>
          </w:p>
        </w:tc>
        <w:tc>
          <w:tcPr>
            <w:tcW w:w="598" w:type="pct"/>
            <w:vAlign w:val="center"/>
          </w:tcPr>
          <w:p w14:paraId="0E6626D7">
            <w:pPr>
              <w:pStyle w:val="111"/>
              <w:spacing w:line="240" w:lineRule="auto"/>
              <w:ind w:left="-100" w:leftChars="-50" w:right="-100" w:rightChars="-50"/>
              <w:rPr>
                <w:bCs/>
                <w:sz w:val="21"/>
                <w:szCs w:val="21"/>
              </w:rPr>
            </w:pPr>
            <w:r>
              <w:rPr>
                <w:rFonts w:hint="eastAsia"/>
                <w:bCs/>
                <w:sz w:val="21"/>
                <w:szCs w:val="21"/>
              </w:rPr>
              <w:t>-</w:t>
            </w:r>
          </w:p>
        </w:tc>
        <w:tc>
          <w:tcPr>
            <w:tcW w:w="599" w:type="pct"/>
            <w:vAlign w:val="center"/>
          </w:tcPr>
          <w:p w14:paraId="6B9BA010">
            <w:pPr>
              <w:pStyle w:val="111"/>
              <w:spacing w:line="240" w:lineRule="auto"/>
              <w:ind w:left="-100" w:leftChars="-50" w:right="-100" w:rightChars="-50"/>
              <w:rPr>
                <w:bCs/>
                <w:sz w:val="21"/>
                <w:szCs w:val="21"/>
              </w:rPr>
            </w:pPr>
            <w:r>
              <w:rPr>
                <w:rFonts w:hint="eastAsia"/>
                <w:bCs/>
                <w:sz w:val="21"/>
                <w:szCs w:val="21"/>
              </w:rPr>
              <w:t>0.628</w:t>
            </w:r>
          </w:p>
        </w:tc>
        <w:tc>
          <w:tcPr>
            <w:tcW w:w="729" w:type="pct"/>
            <w:vAlign w:val="center"/>
          </w:tcPr>
          <w:p w14:paraId="42558057">
            <w:pPr>
              <w:pStyle w:val="111"/>
              <w:spacing w:line="240" w:lineRule="auto"/>
              <w:ind w:left="-100" w:leftChars="-50" w:right="-100" w:rightChars="-50"/>
              <w:rPr>
                <w:bCs/>
                <w:sz w:val="21"/>
                <w:szCs w:val="21"/>
              </w:rPr>
            </w:pPr>
            <w:r>
              <w:rPr>
                <w:rFonts w:hint="eastAsia"/>
                <w:bCs/>
                <w:sz w:val="21"/>
                <w:szCs w:val="21"/>
              </w:rPr>
              <w:t>0.637</w:t>
            </w:r>
          </w:p>
        </w:tc>
        <w:tc>
          <w:tcPr>
            <w:tcW w:w="429" w:type="pct"/>
            <w:vAlign w:val="center"/>
          </w:tcPr>
          <w:p w14:paraId="2258F5EB">
            <w:pPr>
              <w:pStyle w:val="111"/>
              <w:spacing w:line="240" w:lineRule="auto"/>
              <w:ind w:left="-100" w:leftChars="-50" w:right="-100" w:rightChars="-50"/>
              <w:rPr>
                <w:sz w:val="21"/>
                <w:szCs w:val="21"/>
              </w:rPr>
            </w:pPr>
            <w:r>
              <w:rPr>
                <w:rFonts w:hint="eastAsia"/>
                <w:sz w:val="21"/>
                <w:szCs w:val="21"/>
              </w:rPr>
              <w:t>约束性</w:t>
            </w:r>
          </w:p>
        </w:tc>
      </w:tr>
      <w:tr w14:paraId="6808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2" w:type="pct"/>
            <w:vMerge w:val="continue"/>
            <w:vAlign w:val="center"/>
          </w:tcPr>
          <w:p w14:paraId="4D607AC0">
            <w:pPr>
              <w:pStyle w:val="111"/>
              <w:spacing w:line="240" w:lineRule="auto"/>
              <w:ind w:left="-100" w:leftChars="-50" w:right="-100" w:rightChars="-50"/>
              <w:rPr>
                <w:bCs/>
                <w:sz w:val="21"/>
                <w:szCs w:val="21"/>
              </w:rPr>
            </w:pPr>
          </w:p>
        </w:tc>
        <w:tc>
          <w:tcPr>
            <w:tcW w:w="304" w:type="pct"/>
            <w:vAlign w:val="center"/>
          </w:tcPr>
          <w:p w14:paraId="6AA8FF88">
            <w:pPr>
              <w:pStyle w:val="111"/>
              <w:spacing w:line="240" w:lineRule="auto"/>
              <w:ind w:left="-100" w:leftChars="-50" w:right="-100" w:rightChars="-50"/>
              <w:rPr>
                <w:bCs/>
                <w:sz w:val="21"/>
                <w:szCs w:val="21"/>
              </w:rPr>
            </w:pPr>
            <w:r>
              <w:rPr>
                <w:rFonts w:hint="eastAsia"/>
                <w:bCs/>
                <w:sz w:val="21"/>
                <w:szCs w:val="21"/>
              </w:rPr>
              <w:t>5</w:t>
            </w:r>
          </w:p>
        </w:tc>
        <w:tc>
          <w:tcPr>
            <w:tcW w:w="1879" w:type="pct"/>
            <w:vAlign w:val="center"/>
          </w:tcPr>
          <w:p w14:paraId="16CAAFA3">
            <w:pPr>
              <w:pStyle w:val="111"/>
              <w:spacing w:line="240" w:lineRule="auto"/>
              <w:ind w:left="-100" w:leftChars="-50" w:right="-100" w:rightChars="-50"/>
              <w:rPr>
                <w:bCs/>
                <w:sz w:val="21"/>
                <w:szCs w:val="21"/>
              </w:rPr>
            </w:pPr>
            <w:r>
              <w:rPr>
                <w:rFonts w:hint="eastAsia"/>
                <w:bCs/>
                <w:sz w:val="21"/>
                <w:szCs w:val="21"/>
              </w:rPr>
              <w:t>农村自来水普及率</w:t>
            </w:r>
          </w:p>
        </w:tc>
        <w:tc>
          <w:tcPr>
            <w:tcW w:w="598" w:type="pct"/>
            <w:vAlign w:val="center"/>
          </w:tcPr>
          <w:p w14:paraId="613C9B32">
            <w:pPr>
              <w:pStyle w:val="111"/>
              <w:spacing w:line="240" w:lineRule="auto"/>
              <w:ind w:left="-100" w:leftChars="-50" w:right="-100" w:rightChars="-50"/>
              <w:rPr>
                <w:bCs/>
                <w:sz w:val="21"/>
                <w:szCs w:val="21"/>
              </w:rPr>
            </w:pPr>
            <w:r>
              <w:rPr>
                <w:bCs/>
                <w:sz w:val="21"/>
                <w:szCs w:val="21"/>
              </w:rPr>
              <w:t>%</w:t>
            </w:r>
          </w:p>
        </w:tc>
        <w:tc>
          <w:tcPr>
            <w:tcW w:w="599" w:type="pct"/>
            <w:vAlign w:val="center"/>
          </w:tcPr>
          <w:p w14:paraId="3D05A840">
            <w:pPr>
              <w:pStyle w:val="111"/>
              <w:spacing w:line="240" w:lineRule="auto"/>
              <w:ind w:left="-100" w:leftChars="-50" w:right="-100" w:rightChars="-50"/>
              <w:rPr>
                <w:bCs/>
                <w:sz w:val="21"/>
                <w:szCs w:val="21"/>
              </w:rPr>
            </w:pPr>
            <w:r>
              <w:rPr>
                <w:bCs/>
                <w:sz w:val="21"/>
                <w:szCs w:val="21"/>
              </w:rPr>
              <w:t>7</w:t>
            </w:r>
            <w:r>
              <w:rPr>
                <w:rFonts w:hint="eastAsia"/>
                <w:bCs/>
                <w:sz w:val="21"/>
                <w:szCs w:val="21"/>
              </w:rPr>
              <w:t>1.2</w:t>
            </w:r>
          </w:p>
        </w:tc>
        <w:tc>
          <w:tcPr>
            <w:tcW w:w="729" w:type="pct"/>
            <w:vAlign w:val="center"/>
          </w:tcPr>
          <w:p w14:paraId="5467D95C">
            <w:pPr>
              <w:pStyle w:val="111"/>
              <w:spacing w:line="240" w:lineRule="auto"/>
              <w:ind w:left="-100" w:leftChars="-50" w:right="-100" w:rightChars="-50"/>
              <w:rPr>
                <w:bCs/>
                <w:sz w:val="21"/>
                <w:szCs w:val="21"/>
              </w:rPr>
            </w:pPr>
            <w:r>
              <w:rPr>
                <w:rFonts w:hint="eastAsia"/>
                <w:bCs/>
                <w:sz w:val="21"/>
                <w:szCs w:val="21"/>
              </w:rPr>
              <w:t>90</w:t>
            </w:r>
          </w:p>
        </w:tc>
        <w:tc>
          <w:tcPr>
            <w:tcW w:w="429" w:type="pct"/>
            <w:vAlign w:val="center"/>
          </w:tcPr>
          <w:p w14:paraId="4D97DD4B">
            <w:pPr>
              <w:pStyle w:val="111"/>
              <w:spacing w:line="240" w:lineRule="auto"/>
              <w:ind w:left="-100" w:leftChars="-50" w:right="-100" w:rightChars="-50"/>
              <w:rPr>
                <w:sz w:val="21"/>
                <w:szCs w:val="21"/>
              </w:rPr>
            </w:pPr>
            <w:r>
              <w:rPr>
                <w:rFonts w:hint="eastAsia"/>
                <w:sz w:val="21"/>
                <w:szCs w:val="21"/>
              </w:rPr>
              <w:t>预期性</w:t>
            </w:r>
          </w:p>
        </w:tc>
      </w:tr>
      <w:tr w14:paraId="2B669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2" w:type="pct"/>
            <w:vMerge w:val="restart"/>
            <w:vAlign w:val="center"/>
          </w:tcPr>
          <w:p w14:paraId="4491447B">
            <w:pPr>
              <w:pStyle w:val="111"/>
              <w:spacing w:line="240" w:lineRule="auto"/>
              <w:ind w:left="-100" w:leftChars="-50" w:right="-100" w:rightChars="-50"/>
              <w:rPr>
                <w:bCs/>
                <w:sz w:val="21"/>
                <w:szCs w:val="21"/>
              </w:rPr>
            </w:pPr>
            <w:r>
              <w:rPr>
                <w:rFonts w:hint="eastAsia"/>
                <w:bCs/>
                <w:sz w:val="21"/>
                <w:szCs w:val="21"/>
              </w:rPr>
              <w:t>水生态</w:t>
            </w:r>
          </w:p>
          <w:p w14:paraId="1FC977C6">
            <w:pPr>
              <w:pStyle w:val="111"/>
              <w:spacing w:line="240" w:lineRule="auto"/>
              <w:ind w:left="-100" w:leftChars="-50" w:right="-100" w:rightChars="-50"/>
              <w:rPr>
                <w:bCs/>
                <w:sz w:val="21"/>
                <w:szCs w:val="21"/>
              </w:rPr>
            </w:pPr>
            <w:r>
              <w:rPr>
                <w:rFonts w:hint="eastAsia"/>
                <w:bCs/>
                <w:sz w:val="21"/>
                <w:szCs w:val="21"/>
              </w:rPr>
              <w:t>保护修复</w:t>
            </w:r>
          </w:p>
        </w:tc>
        <w:tc>
          <w:tcPr>
            <w:tcW w:w="304" w:type="pct"/>
            <w:vAlign w:val="center"/>
          </w:tcPr>
          <w:p w14:paraId="606EB63F">
            <w:pPr>
              <w:pStyle w:val="111"/>
              <w:spacing w:line="240" w:lineRule="auto"/>
              <w:ind w:left="-100" w:leftChars="-50" w:right="-100" w:rightChars="-50"/>
              <w:rPr>
                <w:bCs/>
                <w:sz w:val="21"/>
                <w:szCs w:val="21"/>
              </w:rPr>
            </w:pPr>
            <w:r>
              <w:rPr>
                <w:rFonts w:hint="eastAsia"/>
                <w:bCs/>
                <w:sz w:val="21"/>
                <w:szCs w:val="21"/>
              </w:rPr>
              <w:t>6</w:t>
            </w:r>
          </w:p>
        </w:tc>
        <w:tc>
          <w:tcPr>
            <w:tcW w:w="1879" w:type="pct"/>
            <w:vAlign w:val="center"/>
          </w:tcPr>
          <w:p w14:paraId="2C4C3AB3">
            <w:pPr>
              <w:pStyle w:val="111"/>
              <w:spacing w:line="240" w:lineRule="auto"/>
              <w:ind w:left="-100" w:leftChars="-50" w:right="-100" w:rightChars="-50"/>
              <w:rPr>
                <w:bCs/>
                <w:sz w:val="21"/>
                <w:szCs w:val="21"/>
              </w:rPr>
            </w:pPr>
            <w:bookmarkStart w:id="35" w:name="RANGE!L46"/>
            <w:r>
              <w:rPr>
                <w:rFonts w:hint="eastAsia"/>
                <w:bCs/>
                <w:sz w:val="21"/>
                <w:szCs w:val="21"/>
              </w:rPr>
              <w:t>水土保持率</w:t>
            </w:r>
            <w:bookmarkEnd w:id="35"/>
          </w:p>
        </w:tc>
        <w:tc>
          <w:tcPr>
            <w:tcW w:w="598" w:type="pct"/>
            <w:vAlign w:val="center"/>
          </w:tcPr>
          <w:p w14:paraId="73AA5FF0">
            <w:pPr>
              <w:pStyle w:val="111"/>
              <w:spacing w:line="240" w:lineRule="auto"/>
              <w:ind w:left="-100" w:leftChars="-50" w:right="-100" w:rightChars="-50"/>
              <w:rPr>
                <w:rFonts w:cs="Times New Roman" w:eastAsiaTheme="majorEastAsia"/>
                <w:bCs/>
                <w:sz w:val="20"/>
                <w:szCs w:val="20"/>
              </w:rPr>
            </w:pPr>
            <w:r>
              <w:rPr>
                <w:bCs/>
                <w:sz w:val="21"/>
                <w:szCs w:val="21"/>
              </w:rPr>
              <w:t>%</w:t>
            </w:r>
          </w:p>
        </w:tc>
        <w:tc>
          <w:tcPr>
            <w:tcW w:w="599" w:type="pct"/>
            <w:vAlign w:val="center"/>
          </w:tcPr>
          <w:p w14:paraId="27ACB9DD">
            <w:pPr>
              <w:pStyle w:val="111"/>
              <w:spacing w:line="240" w:lineRule="auto"/>
              <w:ind w:left="-100" w:leftChars="-50" w:right="-100" w:rightChars="-50"/>
              <w:rPr>
                <w:bCs/>
                <w:sz w:val="21"/>
                <w:szCs w:val="21"/>
              </w:rPr>
            </w:pPr>
            <w:r>
              <w:rPr>
                <w:rFonts w:hint="eastAsia" w:cs="Times New Roman" w:eastAsiaTheme="majorEastAsia"/>
                <w:bCs/>
                <w:sz w:val="20"/>
                <w:szCs w:val="20"/>
              </w:rPr>
              <w:t>98.64</w:t>
            </w:r>
          </w:p>
        </w:tc>
        <w:tc>
          <w:tcPr>
            <w:tcW w:w="729" w:type="pct"/>
            <w:vAlign w:val="center"/>
          </w:tcPr>
          <w:p w14:paraId="4F2587E2">
            <w:pPr>
              <w:pStyle w:val="111"/>
              <w:spacing w:line="240" w:lineRule="auto"/>
              <w:ind w:left="-100" w:leftChars="-50" w:right="-100" w:rightChars="-50"/>
              <w:rPr>
                <w:bCs/>
                <w:sz w:val="21"/>
                <w:szCs w:val="21"/>
              </w:rPr>
            </w:pPr>
            <w:r>
              <w:rPr>
                <w:rFonts w:hint="eastAsia" w:cs="Times New Roman" w:eastAsiaTheme="majorEastAsia"/>
                <w:bCs/>
                <w:sz w:val="20"/>
                <w:szCs w:val="20"/>
              </w:rPr>
              <w:t>98.84</w:t>
            </w:r>
          </w:p>
        </w:tc>
        <w:tc>
          <w:tcPr>
            <w:tcW w:w="429" w:type="pct"/>
            <w:vAlign w:val="center"/>
          </w:tcPr>
          <w:p w14:paraId="62B25FED">
            <w:pPr>
              <w:pStyle w:val="111"/>
              <w:spacing w:line="240" w:lineRule="auto"/>
              <w:ind w:left="-100" w:leftChars="-50" w:right="-100" w:rightChars="-50"/>
              <w:rPr>
                <w:sz w:val="21"/>
                <w:szCs w:val="21"/>
              </w:rPr>
            </w:pPr>
            <w:r>
              <w:rPr>
                <w:sz w:val="21"/>
                <w:szCs w:val="21"/>
              </w:rPr>
              <w:t>预期性</w:t>
            </w:r>
          </w:p>
        </w:tc>
      </w:tr>
      <w:tr w14:paraId="245A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2" w:type="pct"/>
            <w:vMerge w:val="continue"/>
            <w:vAlign w:val="center"/>
          </w:tcPr>
          <w:p w14:paraId="350FF7C6">
            <w:pPr>
              <w:pStyle w:val="111"/>
              <w:spacing w:line="240" w:lineRule="auto"/>
              <w:ind w:left="-100" w:leftChars="-50" w:right="-100" w:rightChars="-50"/>
              <w:rPr>
                <w:bCs/>
                <w:sz w:val="21"/>
                <w:szCs w:val="21"/>
              </w:rPr>
            </w:pPr>
          </w:p>
        </w:tc>
        <w:tc>
          <w:tcPr>
            <w:tcW w:w="304" w:type="pct"/>
            <w:vAlign w:val="center"/>
          </w:tcPr>
          <w:p w14:paraId="2502C58F">
            <w:pPr>
              <w:pStyle w:val="111"/>
              <w:spacing w:line="240" w:lineRule="auto"/>
              <w:ind w:left="-100" w:leftChars="-50" w:right="-100" w:rightChars="-50"/>
              <w:rPr>
                <w:bCs/>
                <w:sz w:val="21"/>
                <w:szCs w:val="21"/>
              </w:rPr>
            </w:pPr>
            <w:r>
              <w:rPr>
                <w:rFonts w:hint="eastAsia"/>
                <w:bCs/>
                <w:sz w:val="21"/>
                <w:szCs w:val="21"/>
              </w:rPr>
              <w:t>7</w:t>
            </w:r>
          </w:p>
        </w:tc>
        <w:tc>
          <w:tcPr>
            <w:tcW w:w="1879" w:type="pct"/>
            <w:vAlign w:val="center"/>
          </w:tcPr>
          <w:p w14:paraId="73BC8607">
            <w:pPr>
              <w:pStyle w:val="111"/>
              <w:spacing w:line="240" w:lineRule="auto"/>
              <w:ind w:left="-100" w:leftChars="-50" w:right="-100" w:rightChars="-50"/>
              <w:rPr>
                <w:bCs/>
                <w:sz w:val="21"/>
                <w:szCs w:val="21"/>
              </w:rPr>
            </w:pPr>
            <w:r>
              <w:rPr>
                <w:rFonts w:hint="eastAsia"/>
                <w:bCs/>
                <w:sz w:val="21"/>
                <w:szCs w:val="21"/>
              </w:rPr>
              <w:t>重点河湖基本生态流量达标率</w:t>
            </w:r>
          </w:p>
        </w:tc>
        <w:tc>
          <w:tcPr>
            <w:tcW w:w="598" w:type="pct"/>
            <w:vAlign w:val="center"/>
          </w:tcPr>
          <w:p w14:paraId="6F86C899">
            <w:pPr>
              <w:pStyle w:val="111"/>
              <w:spacing w:line="240" w:lineRule="auto"/>
              <w:ind w:left="-100" w:leftChars="-50" w:right="-100" w:rightChars="-50"/>
              <w:rPr>
                <w:bCs/>
                <w:sz w:val="21"/>
                <w:szCs w:val="21"/>
              </w:rPr>
            </w:pPr>
            <w:r>
              <w:rPr>
                <w:bCs/>
                <w:sz w:val="21"/>
                <w:szCs w:val="21"/>
              </w:rPr>
              <w:t>%</w:t>
            </w:r>
          </w:p>
        </w:tc>
        <w:tc>
          <w:tcPr>
            <w:tcW w:w="599" w:type="pct"/>
            <w:vAlign w:val="center"/>
          </w:tcPr>
          <w:p w14:paraId="0857A0BD">
            <w:pPr>
              <w:pStyle w:val="111"/>
              <w:spacing w:line="240" w:lineRule="auto"/>
              <w:ind w:left="-100" w:leftChars="-50" w:right="-100" w:rightChars="-50"/>
              <w:rPr>
                <w:bCs/>
                <w:sz w:val="21"/>
                <w:szCs w:val="21"/>
              </w:rPr>
            </w:pPr>
            <w:r>
              <w:rPr>
                <w:rFonts w:hint="eastAsia"/>
                <w:bCs/>
                <w:sz w:val="21"/>
                <w:szCs w:val="21"/>
              </w:rPr>
              <w:t>--</w:t>
            </w:r>
          </w:p>
        </w:tc>
        <w:tc>
          <w:tcPr>
            <w:tcW w:w="729" w:type="pct"/>
            <w:vAlign w:val="center"/>
          </w:tcPr>
          <w:p w14:paraId="4C671125">
            <w:pPr>
              <w:pStyle w:val="111"/>
              <w:spacing w:line="240" w:lineRule="auto"/>
              <w:ind w:right="-100" w:rightChars="-50"/>
              <w:rPr>
                <w:bCs/>
                <w:sz w:val="21"/>
                <w:szCs w:val="21"/>
              </w:rPr>
            </w:pPr>
            <w:r>
              <w:rPr>
                <w:rFonts w:hint="eastAsia"/>
                <w:bCs/>
                <w:sz w:val="21"/>
                <w:szCs w:val="21"/>
              </w:rPr>
              <w:t>90</w:t>
            </w:r>
          </w:p>
        </w:tc>
        <w:tc>
          <w:tcPr>
            <w:tcW w:w="429" w:type="pct"/>
            <w:vAlign w:val="center"/>
          </w:tcPr>
          <w:p w14:paraId="6DC564B9">
            <w:pPr>
              <w:pStyle w:val="111"/>
              <w:spacing w:line="240" w:lineRule="auto"/>
              <w:ind w:left="-100" w:leftChars="-50" w:right="-100" w:rightChars="-50"/>
              <w:rPr>
                <w:sz w:val="21"/>
                <w:szCs w:val="21"/>
              </w:rPr>
            </w:pPr>
            <w:r>
              <w:rPr>
                <w:sz w:val="21"/>
                <w:szCs w:val="21"/>
              </w:rPr>
              <w:t>预期性</w:t>
            </w:r>
          </w:p>
        </w:tc>
      </w:tr>
      <w:tr w14:paraId="12D4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2" w:type="pct"/>
            <w:vAlign w:val="center"/>
          </w:tcPr>
          <w:p w14:paraId="0BA5B650">
            <w:pPr>
              <w:pStyle w:val="111"/>
              <w:spacing w:line="240" w:lineRule="auto"/>
              <w:ind w:left="-100" w:leftChars="-50" w:right="-100" w:rightChars="-50"/>
              <w:rPr>
                <w:bCs/>
                <w:sz w:val="21"/>
                <w:szCs w:val="21"/>
              </w:rPr>
            </w:pPr>
            <w:r>
              <w:rPr>
                <w:rFonts w:hint="eastAsia"/>
                <w:bCs/>
                <w:sz w:val="21"/>
                <w:szCs w:val="21"/>
              </w:rPr>
              <w:t>数字孪生水网</w:t>
            </w:r>
          </w:p>
        </w:tc>
        <w:tc>
          <w:tcPr>
            <w:tcW w:w="304" w:type="pct"/>
            <w:vAlign w:val="center"/>
          </w:tcPr>
          <w:p w14:paraId="187FD69D">
            <w:pPr>
              <w:pStyle w:val="111"/>
              <w:spacing w:line="240" w:lineRule="auto"/>
              <w:ind w:left="-100" w:leftChars="-50" w:right="-100" w:rightChars="-50"/>
              <w:rPr>
                <w:bCs/>
                <w:sz w:val="21"/>
                <w:szCs w:val="21"/>
              </w:rPr>
            </w:pPr>
            <w:r>
              <w:rPr>
                <w:rFonts w:hint="eastAsia"/>
                <w:bCs/>
                <w:sz w:val="21"/>
                <w:szCs w:val="21"/>
              </w:rPr>
              <w:t>8</w:t>
            </w:r>
          </w:p>
        </w:tc>
        <w:tc>
          <w:tcPr>
            <w:tcW w:w="1879" w:type="pct"/>
            <w:vAlign w:val="center"/>
          </w:tcPr>
          <w:p w14:paraId="3CCB825B">
            <w:pPr>
              <w:pStyle w:val="111"/>
              <w:spacing w:line="240" w:lineRule="auto"/>
              <w:ind w:left="-100" w:leftChars="-50" w:right="-100" w:rightChars="-50"/>
              <w:rPr>
                <w:bCs/>
                <w:sz w:val="21"/>
                <w:szCs w:val="21"/>
              </w:rPr>
            </w:pPr>
            <w:r>
              <w:rPr>
                <w:rFonts w:hint="eastAsia"/>
                <w:bCs/>
                <w:sz w:val="21"/>
                <w:szCs w:val="21"/>
              </w:rPr>
              <w:t>重大水利工程数字化率</w:t>
            </w:r>
          </w:p>
        </w:tc>
        <w:tc>
          <w:tcPr>
            <w:tcW w:w="598" w:type="pct"/>
            <w:vAlign w:val="center"/>
          </w:tcPr>
          <w:p w14:paraId="446C02D7">
            <w:pPr>
              <w:pStyle w:val="111"/>
              <w:spacing w:line="240" w:lineRule="auto"/>
              <w:ind w:left="-100" w:leftChars="-50" w:right="-100" w:rightChars="-50"/>
              <w:rPr>
                <w:bCs/>
                <w:sz w:val="21"/>
                <w:szCs w:val="21"/>
              </w:rPr>
            </w:pPr>
            <w:r>
              <w:rPr>
                <w:bCs/>
                <w:sz w:val="21"/>
                <w:szCs w:val="21"/>
              </w:rPr>
              <w:t>%</w:t>
            </w:r>
          </w:p>
        </w:tc>
        <w:tc>
          <w:tcPr>
            <w:tcW w:w="599" w:type="pct"/>
            <w:vAlign w:val="center"/>
          </w:tcPr>
          <w:p w14:paraId="6B84E312">
            <w:pPr>
              <w:pStyle w:val="111"/>
              <w:spacing w:line="240" w:lineRule="auto"/>
              <w:ind w:left="-100" w:leftChars="-50" w:right="-100" w:rightChars="-50"/>
              <w:rPr>
                <w:bCs/>
                <w:sz w:val="21"/>
                <w:szCs w:val="21"/>
              </w:rPr>
            </w:pPr>
            <w:r>
              <w:rPr>
                <w:rFonts w:hint="eastAsia"/>
                <w:bCs/>
                <w:sz w:val="21"/>
                <w:szCs w:val="21"/>
              </w:rPr>
              <w:t>--</w:t>
            </w:r>
          </w:p>
        </w:tc>
        <w:tc>
          <w:tcPr>
            <w:tcW w:w="729" w:type="pct"/>
            <w:vAlign w:val="center"/>
          </w:tcPr>
          <w:p w14:paraId="20BECDFB">
            <w:pPr>
              <w:pStyle w:val="111"/>
              <w:spacing w:line="240" w:lineRule="auto"/>
              <w:ind w:left="-100" w:leftChars="-50" w:right="-100" w:rightChars="-50"/>
              <w:rPr>
                <w:bCs/>
                <w:sz w:val="21"/>
                <w:szCs w:val="21"/>
              </w:rPr>
            </w:pPr>
            <w:r>
              <w:rPr>
                <w:rFonts w:hint="eastAsia"/>
                <w:bCs/>
                <w:sz w:val="21"/>
                <w:szCs w:val="21"/>
              </w:rPr>
              <w:t>&gt;67</w:t>
            </w:r>
          </w:p>
        </w:tc>
        <w:tc>
          <w:tcPr>
            <w:tcW w:w="429" w:type="pct"/>
            <w:vAlign w:val="center"/>
          </w:tcPr>
          <w:p w14:paraId="3FC45975">
            <w:pPr>
              <w:pStyle w:val="111"/>
              <w:spacing w:line="240" w:lineRule="auto"/>
              <w:ind w:left="-100" w:leftChars="-50" w:right="-100" w:rightChars="-50"/>
              <w:rPr>
                <w:sz w:val="21"/>
                <w:szCs w:val="21"/>
              </w:rPr>
            </w:pPr>
            <w:r>
              <w:rPr>
                <w:sz w:val="21"/>
                <w:szCs w:val="21"/>
              </w:rPr>
              <w:t>预期性</w:t>
            </w:r>
          </w:p>
        </w:tc>
      </w:tr>
      <w:tr w14:paraId="6468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000" w:type="pct"/>
            <w:gridSpan w:val="7"/>
            <w:vAlign w:val="center"/>
          </w:tcPr>
          <w:p w14:paraId="3467E0FD">
            <w:pPr>
              <w:pStyle w:val="111"/>
              <w:spacing w:line="271" w:lineRule="auto"/>
              <w:ind w:left="-100" w:leftChars="-50" w:right="-100" w:rightChars="-50"/>
              <w:jc w:val="left"/>
              <w:rPr>
                <w:sz w:val="21"/>
              </w:rPr>
            </w:pPr>
            <w:r>
              <w:rPr>
                <w:sz w:val="21"/>
              </w:rPr>
              <w:t>注</w:t>
            </w:r>
            <w:r>
              <w:rPr>
                <w:rFonts w:hint="eastAsia"/>
                <w:sz w:val="21"/>
              </w:rPr>
              <w:t>：</w:t>
            </w:r>
          </w:p>
          <w:p w14:paraId="681309D4">
            <w:pPr>
              <w:pStyle w:val="111"/>
              <w:spacing w:line="271" w:lineRule="auto"/>
              <w:ind w:left="-100" w:leftChars="-50" w:right="-100" w:rightChars="-50"/>
              <w:jc w:val="left"/>
              <w:rPr>
                <w:sz w:val="21"/>
              </w:rPr>
            </w:pPr>
            <w:r>
              <w:rPr>
                <w:rFonts w:hint="eastAsia"/>
                <w:sz w:val="21"/>
              </w:rPr>
              <w:t>1.河道堤防达标率：指5级以上堤防中，达标堤防长度占堤防总长度的比例。</w:t>
            </w:r>
          </w:p>
          <w:p w14:paraId="56B31C49">
            <w:pPr>
              <w:pStyle w:val="111"/>
              <w:spacing w:line="271" w:lineRule="auto"/>
              <w:ind w:left="-100" w:leftChars="-50" w:right="-100" w:rightChars="-50"/>
              <w:jc w:val="left"/>
              <w:rPr>
                <w:sz w:val="21"/>
              </w:rPr>
            </w:pPr>
            <w:r>
              <w:rPr>
                <w:rFonts w:hint="eastAsia"/>
                <w:sz w:val="21"/>
              </w:rPr>
              <w:t>2.用水总量控制指标：现状值根据呼伦贝尔市下达的2022年度用水总量控制目标。2035年满足呼伦贝尔市关于县（旗、市）用水总量控制目标。</w:t>
            </w:r>
          </w:p>
          <w:p w14:paraId="444A9983">
            <w:pPr>
              <w:pStyle w:val="111"/>
              <w:spacing w:line="271" w:lineRule="auto"/>
              <w:ind w:left="-100" w:leftChars="-50" w:right="-100" w:rightChars="-50"/>
              <w:jc w:val="left"/>
              <w:rPr>
                <w:sz w:val="21"/>
              </w:rPr>
            </w:pPr>
            <w:r>
              <w:rPr>
                <w:rFonts w:hint="eastAsia"/>
                <w:sz w:val="21"/>
              </w:rPr>
              <w:t>3.万元工业增加值用水量：根据单位万元工业增加值所消耗的水资源，反映工业用水效率关键指标。</w:t>
            </w:r>
          </w:p>
          <w:p w14:paraId="7C38051D">
            <w:pPr>
              <w:pStyle w:val="111"/>
              <w:spacing w:line="271" w:lineRule="auto"/>
              <w:ind w:left="-100" w:leftChars="-50" w:right="-100" w:rightChars="-50"/>
              <w:jc w:val="left"/>
              <w:rPr>
                <w:sz w:val="21"/>
              </w:rPr>
            </w:pPr>
            <w:r>
              <w:rPr>
                <w:rFonts w:hint="eastAsia"/>
                <w:sz w:val="21"/>
              </w:rPr>
              <w:t>4.农田灌溉水有效利用系数，指被作物有效利用的水量与渠首引水量的比值。</w:t>
            </w:r>
          </w:p>
          <w:p w14:paraId="5D59EDCD">
            <w:pPr>
              <w:pStyle w:val="111"/>
              <w:spacing w:line="271" w:lineRule="auto"/>
              <w:ind w:left="-100" w:leftChars="-50" w:right="-100" w:rightChars="-50"/>
              <w:jc w:val="left"/>
              <w:rPr>
                <w:sz w:val="21"/>
              </w:rPr>
            </w:pPr>
            <w:r>
              <w:rPr>
                <w:rFonts w:hint="eastAsia"/>
                <w:sz w:val="21"/>
              </w:rPr>
              <w:t>5.农村自来水普及率：指农村使用自来水人口数占农村总人口数的比例。</w:t>
            </w:r>
          </w:p>
          <w:p w14:paraId="4D23415A">
            <w:pPr>
              <w:pStyle w:val="111"/>
              <w:spacing w:line="271" w:lineRule="auto"/>
              <w:ind w:left="-100" w:leftChars="-50" w:right="-100" w:rightChars="-50"/>
              <w:jc w:val="left"/>
              <w:rPr>
                <w:sz w:val="21"/>
              </w:rPr>
            </w:pPr>
            <w:r>
              <w:rPr>
                <w:rFonts w:hint="eastAsia"/>
                <w:sz w:val="21"/>
              </w:rPr>
              <w:t>6.水土保持率：指区域内水土保持状况良好的面积占区域国土面积的比例。</w:t>
            </w:r>
          </w:p>
          <w:p w14:paraId="3B637A3A">
            <w:pPr>
              <w:pStyle w:val="111"/>
              <w:spacing w:line="271" w:lineRule="auto"/>
              <w:ind w:left="-100" w:leftChars="-50" w:right="-100" w:rightChars="-50"/>
              <w:jc w:val="left"/>
              <w:rPr>
                <w:sz w:val="21"/>
              </w:rPr>
            </w:pPr>
            <w:r>
              <w:rPr>
                <w:rFonts w:hint="eastAsia"/>
                <w:sz w:val="21"/>
              </w:rPr>
              <w:t>7.重点河湖基本生态流量达标率：指重要河湖中主要控制断面确定的生态流量目标的达标率。</w:t>
            </w:r>
          </w:p>
          <w:p w14:paraId="49729FDB">
            <w:pPr>
              <w:pStyle w:val="111"/>
              <w:spacing w:line="271" w:lineRule="auto"/>
              <w:ind w:left="-100" w:leftChars="-50" w:right="-100" w:rightChars="-50"/>
              <w:jc w:val="left"/>
              <w:rPr>
                <w:sz w:val="21"/>
              </w:rPr>
            </w:pPr>
            <w:r>
              <w:rPr>
                <w:rFonts w:hint="eastAsia"/>
                <w:sz w:val="21"/>
              </w:rPr>
              <w:t>8.重要水利工程数字孪生覆盖率：指规划大型水库、灌区、引调水工程等重要水利工程（8处）中实现数字孪生的数量占工程总数（12处）的比例。</w:t>
            </w:r>
          </w:p>
        </w:tc>
      </w:tr>
    </w:tbl>
    <w:p w14:paraId="72BA761A">
      <w:pPr>
        <w:pStyle w:val="34"/>
      </w:pPr>
      <w:bookmarkStart w:id="36" w:name="_Toc216964747"/>
      <w:r>
        <w:rPr>
          <w:rFonts w:hint="eastAsia"/>
        </w:rPr>
        <w:t>（五）总体布局</w:t>
      </w:r>
      <w:bookmarkEnd w:id="36"/>
    </w:p>
    <w:p w14:paraId="0981063D">
      <w:pPr>
        <w:pStyle w:val="82"/>
        <w:ind w:firstLine="648"/>
      </w:pPr>
      <w:bookmarkStart w:id="37" w:name="_Hlk201604261"/>
      <w:bookmarkStart w:id="38" w:name="_Hlk205886228"/>
      <w:r>
        <w:rPr>
          <w:rFonts w:hint="eastAsia"/>
        </w:rPr>
        <w:t>为全面落实额尔古纳市在自治区及呼伦贝尔市粮食安全、生态安全等</w:t>
      </w:r>
      <w:r>
        <w:t>重大战略部署中的定位要求</w:t>
      </w:r>
      <w:r>
        <w:rPr>
          <w:rFonts w:hint="eastAsia"/>
        </w:rPr>
        <w:t>，立足额尔古纳市</w:t>
      </w:r>
      <w:r>
        <w:rPr>
          <w:rFonts w:hint="eastAsia"/>
          <w:b/>
          <w:bCs/>
        </w:rPr>
        <w:t>“一山一廊两片区，一核三心多点”</w:t>
      </w:r>
      <w:r>
        <w:rPr>
          <w:rFonts w:hint="eastAsia"/>
        </w:rPr>
        <w:t>的国土空间开发保护总体格局，</w:t>
      </w:r>
      <w:bookmarkEnd w:id="37"/>
      <w:r>
        <w:rPr>
          <w:rFonts w:hint="eastAsia"/>
        </w:rPr>
        <w:t>围绕“山水林田湖草共生共荣之城、中国北方多民族和美之地、内蒙古东部特色旅游目的地、内蒙古东部对外开放新高地”的</w:t>
      </w:r>
      <w:r>
        <w:rPr>
          <w:rFonts w:hint="eastAsia"/>
          <w:b/>
          <w:bCs/>
        </w:rPr>
        <w:t>“一城、三地”</w:t>
      </w:r>
      <w:r>
        <w:rPr>
          <w:rFonts w:hint="eastAsia"/>
        </w:rPr>
        <w:t>总体发展定位，承接延伸内蒙古自治区水网和呼伦贝尔市水网，提出构建“一</w:t>
      </w:r>
      <w:r>
        <w:rPr>
          <w:rFonts w:hint="eastAsia"/>
          <w:b/>
          <w:bCs/>
        </w:rPr>
        <w:t>轴五脉一通道，两塔一区多结点</w:t>
      </w:r>
      <w:r>
        <w:rPr>
          <w:rFonts w:hint="eastAsia"/>
        </w:rPr>
        <w:t>”的现代化水网总体布局。</w:t>
      </w:r>
    </w:p>
    <w:bookmarkEnd w:id="38"/>
    <w:p w14:paraId="59E75624">
      <w:pPr>
        <w:pStyle w:val="34"/>
      </w:pPr>
      <w:bookmarkStart w:id="39" w:name="_Toc216964748"/>
      <w:r>
        <w:rPr>
          <w:rFonts w:hint="eastAsia"/>
        </w:rPr>
        <w:t>（六）主要建设任务</w:t>
      </w:r>
      <w:bookmarkEnd w:id="39"/>
    </w:p>
    <w:p w14:paraId="65DAFE8A">
      <w:pPr>
        <w:pStyle w:val="82"/>
        <w:ind w:firstLine="648"/>
        <w:rPr>
          <w:bCs/>
        </w:rPr>
      </w:pPr>
      <w:r>
        <w:rPr>
          <w:rFonts w:hint="eastAsia"/>
        </w:rPr>
        <w:t>依托额尔古纳市天然水系，针对水旱灾害防御新形势和经济社会高质量发展、生态文明建设对水网的新要求，从水网的防洪、供水、生态多重功能出发，完善防洪减灾体系，构建由河道及堤防等组成的现代防洪工程减灾网，科学提高工程防御标准，增强洪水防御能力，确保防洪安全；完善水资源配置格局，实现水资源的互济联调，增强水资源多时段、多目标空间调配能力，提高供水保障能力和抗风险能力，构建城乡供水和灌溉保障网；完善河湖生态系统保护修复与治理体系，构建河湖生态保护修复网，加强河湖生态治理，推进水源涵养和水土保持生态建设，复苏河湖生态环境，提升生态系统质量和稳定性。充分衔接自治区、市级数字孪生水网，补充完善本级监测感知体系、</w:t>
      </w:r>
      <w:r>
        <w:rPr>
          <w:rFonts w:hint="eastAsia"/>
          <w:bCs/>
        </w:rPr>
        <w:t>数字孪生平台和业务应用体系建设</w:t>
      </w:r>
      <w:r>
        <w:rPr>
          <w:rFonts w:hint="eastAsia"/>
        </w:rPr>
        <w:t>，</w:t>
      </w:r>
      <w:r>
        <w:rPr>
          <w:rFonts w:hint="eastAsia"/>
          <w:bCs/>
        </w:rPr>
        <w:t>构建数字孪生水网。</w:t>
      </w:r>
    </w:p>
    <w:p w14:paraId="2688B5AD">
      <w:pPr>
        <w:pStyle w:val="121"/>
      </w:pPr>
    </w:p>
    <w:p w14:paraId="710C95DD">
      <w:pPr>
        <w:pStyle w:val="82"/>
        <w:ind w:firstLine="648"/>
        <w:sectPr>
          <w:pgSz w:w="11906" w:h="16838"/>
          <w:pgMar w:top="1440" w:right="1800" w:bottom="1440" w:left="1800" w:header="851" w:footer="992" w:gutter="0"/>
          <w:cols w:space="425" w:num="1"/>
          <w:docGrid w:type="lines" w:linePitch="312" w:charSpace="0"/>
        </w:sectPr>
      </w:pPr>
      <w:r>
        <w:rPr>
          <w:rFonts w:hint="eastAsia"/>
        </w:rPr>
        <w:t xml:space="preserve"> </w:t>
      </w:r>
    </w:p>
    <w:p w14:paraId="05EAE258">
      <w:pPr>
        <w:pStyle w:val="208"/>
        <w:rPr>
          <w:rFonts w:hint="eastAsia"/>
        </w:rPr>
      </w:pPr>
      <w:bookmarkStart w:id="40" w:name="_Toc174614102"/>
      <w:bookmarkStart w:id="41" w:name="_Toc216964749"/>
      <w:r>
        <w:rPr>
          <w:rFonts w:hint="eastAsia"/>
        </w:rPr>
        <w:t>三、构建防洪排涝网</w:t>
      </w:r>
      <w:bookmarkEnd w:id="40"/>
      <w:bookmarkEnd w:id="41"/>
    </w:p>
    <w:p w14:paraId="62CDF673">
      <w:pPr>
        <w:pStyle w:val="34"/>
      </w:pPr>
      <w:bookmarkStart w:id="42" w:name="_Toc216964750"/>
      <w:r>
        <w:rPr>
          <w:rFonts w:hint="eastAsia"/>
        </w:rPr>
        <w:t>（一）建设思路</w:t>
      </w:r>
      <w:bookmarkEnd w:id="42"/>
    </w:p>
    <w:p w14:paraId="7D986642">
      <w:pPr>
        <w:pStyle w:val="82"/>
        <w:ind w:firstLine="648"/>
      </w:pPr>
      <w:r>
        <w:rPr>
          <w:rFonts w:hint="eastAsia"/>
        </w:rPr>
        <w:t>坚持人民至上、生命至上，把保护人民生命财产安全摆在首位，遵循“两个坚持、三个转变”的防灾减灾救灾理念，按照“</w:t>
      </w:r>
      <w:r>
        <w:rPr>
          <w:rFonts w:hint="eastAsia"/>
          <w:b/>
        </w:rPr>
        <w:t>以泄为主、多措并举</w:t>
      </w:r>
      <w:r>
        <w:rPr>
          <w:rFonts w:hint="eastAsia"/>
        </w:rPr>
        <w:t xml:space="preserve">”的防洪策略，基于区域水系特征，以流域为单元，全面实施防洪提升工程，提升洪涝灾害防御能力，保障人民群众生命财产安全和经济社会健康稳定。 </w:t>
      </w:r>
    </w:p>
    <w:p w14:paraId="2800415C">
      <w:pPr>
        <w:pStyle w:val="82"/>
        <w:ind w:firstLine="651"/>
      </w:pPr>
      <w:r>
        <w:rPr>
          <w:rFonts w:hint="eastAsia"/>
          <w:b/>
        </w:rPr>
        <w:t>“以泄为主”。</w:t>
      </w:r>
      <w:r>
        <w:rPr>
          <w:rFonts w:hint="eastAsia"/>
        </w:rPr>
        <w:t>遵循上下游协调、左右岸兼顾的原则，对干支流河道整治进行系统治理，</w:t>
      </w:r>
      <w:r>
        <w:t>通过新建堤防、河道整等措施</w:t>
      </w:r>
      <w:r>
        <w:rPr>
          <w:rFonts w:hint="eastAsia"/>
        </w:rPr>
        <w:t>，</w:t>
      </w:r>
      <w:r>
        <w:t>保证泄洪顺畅，确保城市和重要河段防洪安全。</w:t>
      </w:r>
    </w:p>
    <w:p w14:paraId="7169C454">
      <w:pPr>
        <w:pStyle w:val="82"/>
        <w:ind w:firstLine="651"/>
      </w:pPr>
      <w:r>
        <w:rPr>
          <w:rFonts w:hint="eastAsia"/>
          <w:b/>
        </w:rPr>
        <w:t>“多措并举”。</w:t>
      </w:r>
      <w:r>
        <w:rPr>
          <w:rFonts w:hint="eastAsia"/>
        </w:rPr>
        <w:t>根据</w:t>
      </w:r>
      <w:r>
        <w:t>额尔古纳</w:t>
      </w:r>
      <w:r>
        <w:rPr>
          <w:rFonts w:hint="eastAsia"/>
        </w:rPr>
        <w:t>地域及洪水特点，实施以防洪工程为主，工程措施和非工程措施并举，共同构筑区域防洪安全。</w:t>
      </w:r>
    </w:p>
    <w:p w14:paraId="27489417">
      <w:pPr>
        <w:pStyle w:val="34"/>
      </w:pPr>
      <w:bookmarkStart w:id="43" w:name="_Toc216964751"/>
      <w:r>
        <w:rPr>
          <w:rFonts w:hint="eastAsia"/>
        </w:rPr>
        <w:t>（二）防洪标准和布局</w:t>
      </w:r>
      <w:bookmarkEnd w:id="43"/>
    </w:p>
    <w:p w14:paraId="10652E63">
      <w:pPr>
        <w:pStyle w:val="64"/>
      </w:pPr>
      <w:r>
        <w:rPr>
          <w:rFonts w:hint="eastAsia"/>
        </w:rPr>
        <w:t>1. 防洪标准</w:t>
      </w:r>
    </w:p>
    <w:p w14:paraId="1B38A92C">
      <w:pPr>
        <w:pStyle w:val="82"/>
        <w:ind w:firstLine="648"/>
      </w:pPr>
      <w:r>
        <w:rPr>
          <w:rFonts w:hint="eastAsia"/>
        </w:rPr>
        <w:t>根据《</w:t>
      </w:r>
      <w:r>
        <w:t>额尔古纳</w:t>
      </w:r>
      <w:r>
        <w:rPr>
          <w:rFonts w:hint="eastAsia"/>
        </w:rPr>
        <w:t>市国土空间总体规划（2021-2035年）》和本规划人口发展预测成果，额尔古纳市区拉布大林</w:t>
      </w:r>
      <w:r>
        <w:t>街道</w:t>
      </w:r>
      <w:r>
        <w:rPr>
          <w:rFonts w:hint="eastAsia"/>
        </w:rPr>
        <w:t>预计2035年人口为</w:t>
      </w:r>
      <w:r>
        <w:t>4.08</w:t>
      </w:r>
      <w:r>
        <w:rPr>
          <w:rFonts w:hint="eastAsia"/>
        </w:rPr>
        <w:t>万人；上库力街道</w:t>
      </w:r>
      <w:r>
        <w:t>、三河回族乡、蒙兀室韦苏木、黑山头镇、恩和俄罗斯民族乡、</w:t>
      </w:r>
      <w:r>
        <w:rPr>
          <w:rFonts w:hint="eastAsia"/>
        </w:rPr>
        <w:t>奇</w:t>
      </w:r>
      <w:r>
        <w:t>乾乡、莫尔道嘎镇</w:t>
      </w:r>
      <w:r>
        <w:rPr>
          <w:rFonts w:hint="eastAsia"/>
        </w:rPr>
        <w:t>、</w:t>
      </w:r>
      <w:r>
        <w:t>恩和哈达镇</w:t>
      </w:r>
      <w:r>
        <w:rPr>
          <w:rFonts w:hint="eastAsia"/>
        </w:rPr>
        <w:t>，预计2035年各乡镇</w:t>
      </w:r>
      <w:r>
        <w:t>人口</w:t>
      </w:r>
      <w:r>
        <w:rPr>
          <w:rFonts w:hint="eastAsia"/>
        </w:rPr>
        <w:t>均</w:t>
      </w:r>
      <w:r>
        <w:t>不超过1</w:t>
      </w:r>
      <w:r>
        <w:rPr>
          <w:rFonts w:hint="eastAsia"/>
        </w:rPr>
        <w:t>万人。</w:t>
      </w:r>
    </w:p>
    <w:p w14:paraId="7A8DA62C">
      <w:pPr>
        <w:pStyle w:val="82"/>
        <w:ind w:firstLine="648"/>
      </w:pPr>
      <w:r>
        <w:t>按照《防洪标准》（GB50201-2014），结合《</w:t>
      </w:r>
      <w:r>
        <w:rPr>
          <w:rFonts w:hint="eastAsia"/>
        </w:rPr>
        <w:t>额尔古纳市国土</w:t>
      </w:r>
      <w:r>
        <w:t>空间</w:t>
      </w:r>
      <w:r>
        <w:rPr>
          <w:rFonts w:hint="eastAsia"/>
        </w:rPr>
        <w:t>总体规划</w:t>
      </w:r>
      <w:r>
        <w:t>（2021—2035年）》，确定中心城区</w:t>
      </w:r>
      <w:r>
        <w:rPr>
          <w:rFonts w:hint="eastAsia"/>
        </w:rPr>
        <w:t>防洪标准为</w:t>
      </w:r>
      <w:r>
        <w:t>50年一遇</w:t>
      </w:r>
      <w:r>
        <w:rPr>
          <w:rFonts w:hint="eastAsia"/>
        </w:rPr>
        <w:t>，</w:t>
      </w:r>
      <w:r>
        <w:t>主要乡镇防洪标准为</w:t>
      </w:r>
      <w:r>
        <w:rPr>
          <w:rFonts w:hint="eastAsia"/>
        </w:rPr>
        <w:t>20年</w:t>
      </w:r>
      <w:r>
        <w:t>一遇</w:t>
      </w:r>
      <w:r>
        <w:rPr>
          <w:rFonts w:hint="eastAsia"/>
        </w:rPr>
        <w:t>，其他农田及村庄防洪标准为10年一遇。</w:t>
      </w:r>
    </w:p>
    <w:p w14:paraId="1F3AFF07">
      <w:pPr>
        <w:pStyle w:val="64"/>
      </w:pPr>
      <w:r>
        <w:t>2.</w:t>
      </w:r>
      <w:r>
        <w:rPr>
          <w:rFonts w:hint="eastAsia"/>
        </w:rPr>
        <w:t xml:space="preserve"> 排涝标准</w:t>
      </w:r>
    </w:p>
    <w:p w14:paraId="2A9E4CC6">
      <w:pPr>
        <w:pStyle w:val="82"/>
        <w:ind w:firstLine="648"/>
      </w:pPr>
      <w:r>
        <w:rPr>
          <w:rFonts w:hint="eastAsia"/>
        </w:rPr>
        <w:t>额尔古纳市区设计暴雨重现期为10年一遇，城市设计暴雨历时和排除时间按24h降雨24h排除，涝水排除程度达到排除时间内</w:t>
      </w:r>
      <w:r>
        <w:t>排至重要建筑物不被淹，或</w:t>
      </w:r>
      <w:r>
        <w:rPr>
          <w:rFonts w:hint="eastAsia"/>
        </w:rPr>
        <w:t>95</w:t>
      </w:r>
      <w:r>
        <w:t>%的涝区地面不受淹</w:t>
      </w:r>
      <w:r>
        <w:rPr>
          <w:rFonts w:hint="eastAsia"/>
        </w:rPr>
        <w:t>。、</w:t>
      </w:r>
    </w:p>
    <w:p w14:paraId="3C5EB4E6">
      <w:pPr>
        <w:pStyle w:val="64"/>
      </w:pPr>
      <w:r>
        <w:rPr>
          <w:rFonts w:hint="eastAsia"/>
        </w:rPr>
        <w:t>3</w:t>
      </w:r>
      <w:r>
        <w:t xml:space="preserve">. </w:t>
      </w:r>
      <w:r>
        <w:rPr>
          <w:rFonts w:hint="eastAsia"/>
        </w:rPr>
        <w:t>防洪</w:t>
      </w:r>
      <w:r>
        <w:t>总体布局</w:t>
      </w:r>
    </w:p>
    <w:p w14:paraId="0CC1DB2F">
      <w:pPr>
        <w:pStyle w:val="82"/>
        <w:ind w:firstLine="648"/>
      </w:pPr>
      <w:r>
        <w:rPr>
          <w:rFonts w:hint="eastAsia"/>
        </w:rPr>
        <w:t>额尔古纳市</w:t>
      </w:r>
      <w:r>
        <w:t>境内河流均为额尔古纳河水系，</w:t>
      </w:r>
      <w:r>
        <w:rPr>
          <w:rFonts w:hint="eastAsia"/>
        </w:rPr>
        <w:t>境内额尔古纳河</w:t>
      </w:r>
      <w:r>
        <w:t>主要一级支流有根河、激流河、</w:t>
      </w:r>
      <w:r>
        <w:rPr>
          <w:rFonts w:hint="eastAsia"/>
        </w:rPr>
        <w:t>得尔布干河</w:t>
      </w:r>
      <w:r>
        <w:t>、莫尔道嘎河</w:t>
      </w:r>
      <w:r>
        <w:rPr>
          <w:rFonts w:hint="eastAsia"/>
        </w:rPr>
        <w:t>，结合</w:t>
      </w:r>
      <w:r>
        <w:t>河道两岸保护对象情况，</w:t>
      </w:r>
      <w:r>
        <w:rPr>
          <w:rFonts w:hint="eastAsia"/>
        </w:rPr>
        <w:t>实施干支流河道整治、山洪沟系统治理和县城防洪排涝建设，以及强化洪水监测预报预警和应急管理等非工程措施，逐步完善流域防洪减灾布局。</w:t>
      </w:r>
    </w:p>
    <w:p w14:paraId="1933E64D">
      <w:pPr>
        <w:pStyle w:val="34"/>
      </w:pPr>
      <w:bookmarkStart w:id="44" w:name="_Toc216964752"/>
      <w:r>
        <w:rPr>
          <w:rFonts w:hint="eastAsia"/>
        </w:rPr>
        <w:t>（三）提高河道泄洪能力</w:t>
      </w:r>
      <w:bookmarkEnd w:id="44"/>
    </w:p>
    <w:p w14:paraId="644E66BA">
      <w:pPr>
        <w:pStyle w:val="82"/>
        <w:ind w:firstLine="648"/>
      </w:pPr>
      <w:r>
        <w:rPr>
          <w:rFonts w:hint="eastAsia"/>
        </w:rPr>
        <w:t>以洪涝灾害发生频繁且灾害损失严重，沿岸需要保护城镇、农村、人口、耕地较多的河流（河段）为重点，以新建堤防护岸为主要措施，坚持防洪与生态建设相结合、除害与兴利相结合的治理原则，继续实施主要支流防洪提升工程、中小河流治理工程和</w:t>
      </w:r>
      <w:r>
        <w:t>山洪沟治理工程</w:t>
      </w:r>
      <w:r>
        <w:rPr>
          <w:rFonts w:hint="eastAsia"/>
        </w:rPr>
        <w:t>，有效提高额尔古纳市防洪能力。</w:t>
      </w:r>
    </w:p>
    <w:p w14:paraId="52C73387">
      <w:pPr>
        <w:pStyle w:val="64"/>
        <w:ind w:firstLineChars="0"/>
      </w:pPr>
      <w:r>
        <w:rPr>
          <w:rFonts w:hint="eastAsia"/>
        </w:rPr>
        <w:t>1. 主要支流</w:t>
      </w:r>
      <w:r>
        <w:t>治理</w:t>
      </w:r>
    </w:p>
    <w:p w14:paraId="4B40304F">
      <w:pPr>
        <w:pStyle w:val="82"/>
        <w:ind w:firstLine="648"/>
      </w:pPr>
      <w:r>
        <w:rPr>
          <w:rFonts w:hint="eastAsia"/>
        </w:rPr>
        <w:t>根河</w:t>
      </w:r>
      <w:r>
        <w:t>和</w:t>
      </w:r>
      <w:r>
        <w:rPr>
          <w:rFonts w:hint="eastAsia"/>
        </w:rPr>
        <w:t>得尔布干河</w:t>
      </w:r>
      <w:r>
        <w:t>部分河段</w:t>
      </w:r>
      <w:r>
        <w:rPr>
          <w:rFonts w:hint="eastAsia"/>
        </w:rPr>
        <w:t>两岸村镇</w:t>
      </w:r>
      <w:r>
        <w:t>和农田存在受淹风险，本次治理主要针对以上河段</w:t>
      </w:r>
      <w:r>
        <w:rPr>
          <w:rFonts w:hint="eastAsia"/>
        </w:rPr>
        <w:t>补齐短板</w:t>
      </w:r>
      <w:r>
        <w:t>。</w:t>
      </w:r>
    </w:p>
    <w:p w14:paraId="0F10D738">
      <w:pPr>
        <w:pStyle w:val="82"/>
        <w:ind w:firstLine="648"/>
      </w:pPr>
      <w:r>
        <w:t>（1）根河</w:t>
      </w:r>
    </w:p>
    <w:p w14:paraId="6C1390B4">
      <w:pPr>
        <w:pStyle w:val="82"/>
        <w:ind w:firstLine="648"/>
      </w:pPr>
      <w:r>
        <w:rPr>
          <w:rFonts w:hint="eastAsia"/>
        </w:rPr>
        <w:t>根河额尔古纳城区段已建防洪堤2.47km</w:t>
      </w:r>
      <w:r>
        <w:t>，防洪标准为</w:t>
      </w:r>
      <w:r>
        <w:rPr>
          <w:rFonts w:hint="eastAsia"/>
        </w:rPr>
        <w:t>50年</w:t>
      </w:r>
      <w:r>
        <w:t>一遇</w:t>
      </w:r>
      <w:r>
        <w:rPr>
          <w:rFonts w:hint="eastAsia"/>
        </w:rPr>
        <w:t>，下乌尔根镇已建防洪堤1.42km，小库力镇河段</w:t>
      </w:r>
      <w:r>
        <w:t>已建堤防2.53km，防洪标准为20年一遇。</w:t>
      </w:r>
    </w:p>
    <w:p w14:paraId="1D30BDAB">
      <w:pPr>
        <w:pStyle w:val="82"/>
        <w:ind w:firstLine="648"/>
      </w:pPr>
      <w:r>
        <w:rPr>
          <w:rFonts w:hint="eastAsia"/>
        </w:rPr>
        <w:t>本次规划针对防洪薄弱环节，以人口集中、洪水威胁大、有重要村庄和农田保护对象的河段为重点，推进堤防、护岸工程建设，规划新建堤防4.22km，规划新建护岸5.91km，其中，白音</w:t>
      </w:r>
      <w:r>
        <w:t>扎拉</w:t>
      </w:r>
      <w:r>
        <w:rPr>
          <w:rFonts w:hint="eastAsia"/>
        </w:rPr>
        <w:t>嘎</w:t>
      </w:r>
      <w:r>
        <w:t>规划新建堤防</w:t>
      </w:r>
      <w:r>
        <w:rPr>
          <w:rFonts w:hint="eastAsia"/>
        </w:rPr>
        <w:t>2.</w:t>
      </w:r>
      <w:r>
        <w:t>9</w:t>
      </w:r>
      <w:r>
        <w:rPr>
          <w:rFonts w:hint="eastAsia"/>
        </w:rPr>
        <w:t>km，</w:t>
      </w:r>
      <w:r>
        <w:t>市区自来水厂新建堤防1.32</w:t>
      </w:r>
      <w:r>
        <w:rPr>
          <w:rFonts w:hint="eastAsia"/>
        </w:rPr>
        <w:t>km，大</w:t>
      </w:r>
      <w:r>
        <w:t>立山村新建护岸</w:t>
      </w:r>
      <w:r>
        <w:rPr>
          <w:rFonts w:hint="eastAsia"/>
        </w:rPr>
        <w:t>1.</w:t>
      </w:r>
      <w:r>
        <w:t>08km</w:t>
      </w:r>
      <w:r>
        <w:rPr>
          <w:rFonts w:hint="eastAsia"/>
        </w:rPr>
        <w:t>，市区</w:t>
      </w:r>
      <w:r>
        <w:t>段新建护岸</w:t>
      </w:r>
      <w:r>
        <w:rPr>
          <w:rFonts w:hint="eastAsia"/>
        </w:rPr>
        <w:t>0.55km，</w:t>
      </w:r>
      <w:r>
        <w:t>自来水厂段</w:t>
      </w:r>
      <w:r>
        <w:rPr>
          <w:rFonts w:hint="eastAsia"/>
        </w:rPr>
        <w:t>新建</w:t>
      </w:r>
      <w:r>
        <w:t>护岸</w:t>
      </w:r>
      <w:r>
        <w:rPr>
          <w:rFonts w:hint="eastAsia"/>
        </w:rPr>
        <w:t>0.27km，</w:t>
      </w:r>
      <w:r>
        <w:t>楚鲁图村新建护岸</w:t>
      </w:r>
      <w:r>
        <w:rPr>
          <w:rFonts w:hint="eastAsia"/>
        </w:rPr>
        <w:t>0.43km，</w:t>
      </w:r>
      <w:r>
        <w:t>桦树林村新建护岸</w:t>
      </w:r>
      <w:r>
        <w:rPr>
          <w:rFonts w:hint="eastAsia"/>
        </w:rPr>
        <w:t>0.94km，</w:t>
      </w:r>
      <w:r>
        <w:t>西地营子屯新建护岸</w:t>
      </w:r>
      <w:r>
        <w:rPr>
          <w:rFonts w:hint="eastAsia"/>
        </w:rPr>
        <w:t>0.97km，</w:t>
      </w:r>
      <w:r>
        <w:t>梁西村新建护岸</w:t>
      </w:r>
      <w:r>
        <w:rPr>
          <w:rFonts w:hint="eastAsia"/>
        </w:rPr>
        <w:t>1.67km。</w:t>
      </w:r>
    </w:p>
    <w:p w14:paraId="22367F30">
      <w:pPr>
        <w:pStyle w:val="82"/>
        <w:ind w:firstLine="648"/>
      </w:pPr>
      <w:r>
        <w:t>（2）</w:t>
      </w:r>
      <w:r>
        <w:rPr>
          <w:rFonts w:hint="eastAsia"/>
        </w:rPr>
        <w:t>得尔布干</w:t>
      </w:r>
      <w:r>
        <w:t>河</w:t>
      </w:r>
    </w:p>
    <w:p w14:paraId="503305FB">
      <w:pPr>
        <w:pStyle w:val="82"/>
        <w:ind w:firstLine="648"/>
      </w:pPr>
      <w:r>
        <w:rPr>
          <w:rFonts w:hint="eastAsia"/>
        </w:rPr>
        <w:t>得尔布干河尚未</w:t>
      </w:r>
      <w:r>
        <w:t>开展防洪工程建设</w:t>
      </w:r>
      <w:r>
        <w:rPr>
          <w:rFonts w:hint="eastAsia"/>
        </w:rPr>
        <w:t>，沿岸有</w:t>
      </w:r>
      <w:r>
        <w:t>苏沁回民乡</w:t>
      </w:r>
      <w:r>
        <w:rPr>
          <w:rFonts w:hint="eastAsia"/>
        </w:rPr>
        <w:t>、</w:t>
      </w:r>
      <w:r>
        <w:t>机耕村</w:t>
      </w:r>
      <w:r>
        <w:rPr>
          <w:rFonts w:hint="eastAsia"/>
        </w:rPr>
        <w:t>、</w:t>
      </w:r>
      <w:r>
        <w:t>团结村</w:t>
      </w:r>
      <w:r>
        <w:rPr>
          <w:rFonts w:hint="eastAsia"/>
        </w:rPr>
        <w:t>、</w:t>
      </w:r>
      <w:r>
        <w:t>得尔布屯</w:t>
      </w:r>
      <w:r>
        <w:rPr>
          <w:rFonts w:hint="eastAsia"/>
        </w:rPr>
        <w:t>、</w:t>
      </w:r>
      <w:r>
        <w:t>建设村</w:t>
      </w:r>
      <w:r>
        <w:rPr>
          <w:rFonts w:hint="eastAsia"/>
        </w:rPr>
        <w:t>、</w:t>
      </w:r>
      <w:r>
        <w:t>上护林</w:t>
      </w:r>
      <w:r>
        <w:rPr>
          <w:rFonts w:hint="eastAsia"/>
        </w:rPr>
        <w:t>、红旗</w:t>
      </w:r>
      <w:r>
        <w:t>屯</w:t>
      </w:r>
      <w:r>
        <w:rPr>
          <w:rFonts w:hint="eastAsia"/>
        </w:rPr>
        <w:t>等保护对象</w:t>
      </w:r>
      <w:r>
        <w:t>。</w:t>
      </w:r>
    </w:p>
    <w:p w14:paraId="2E4F92C0">
      <w:pPr>
        <w:pStyle w:val="82"/>
        <w:ind w:firstLine="648"/>
      </w:pPr>
      <w:r>
        <w:rPr>
          <w:rFonts w:hint="eastAsia"/>
        </w:rPr>
        <w:t>规划新建堤防8.24km，规划新建护岸6.14km。</w:t>
      </w:r>
      <w:r>
        <w:t>机耕村</w:t>
      </w:r>
      <w:r>
        <w:rPr>
          <w:rFonts w:hint="eastAsia"/>
        </w:rPr>
        <w:t>规划</w:t>
      </w:r>
      <w:r>
        <w:t>新建护岸</w:t>
      </w:r>
      <w:r>
        <w:rPr>
          <w:rFonts w:hint="eastAsia"/>
        </w:rPr>
        <w:t>1.63km，</w:t>
      </w:r>
      <w:r>
        <w:t>得尔布屯</w:t>
      </w:r>
      <w:r>
        <w:rPr>
          <w:rFonts w:hint="eastAsia"/>
        </w:rPr>
        <w:t>规划</w:t>
      </w:r>
      <w:r>
        <w:t>新建护岸</w:t>
      </w:r>
      <w:r>
        <w:rPr>
          <w:rFonts w:hint="eastAsia"/>
        </w:rPr>
        <w:t>0.86km，</w:t>
      </w:r>
      <w:r>
        <w:t>团结村</w:t>
      </w:r>
      <w:r>
        <w:rPr>
          <w:rFonts w:hint="eastAsia"/>
        </w:rPr>
        <w:t>规划</w:t>
      </w:r>
      <w:r>
        <w:t>新建堤防</w:t>
      </w:r>
      <w:r>
        <w:rPr>
          <w:rFonts w:hint="eastAsia"/>
        </w:rPr>
        <w:t>2.47km，</w:t>
      </w:r>
      <w:r>
        <w:t>建设村</w:t>
      </w:r>
      <w:r>
        <w:rPr>
          <w:rFonts w:hint="eastAsia"/>
        </w:rPr>
        <w:t>规划</w:t>
      </w:r>
      <w:r>
        <w:t>新建堤防</w:t>
      </w:r>
      <w:r>
        <w:rPr>
          <w:rFonts w:hint="eastAsia"/>
        </w:rPr>
        <w:t>2.77km、</w:t>
      </w:r>
      <w:r>
        <w:t>新建护岸</w:t>
      </w:r>
      <w:r>
        <w:rPr>
          <w:rFonts w:hint="eastAsia"/>
        </w:rPr>
        <w:t>0.9km，</w:t>
      </w:r>
      <w:r>
        <w:t>苏沁回民乡</w:t>
      </w:r>
      <w:r>
        <w:rPr>
          <w:rFonts w:hint="eastAsia"/>
        </w:rPr>
        <w:t>规划</w:t>
      </w:r>
      <w:r>
        <w:t>新建堤防</w:t>
      </w:r>
      <w:r>
        <w:rPr>
          <w:rFonts w:hint="eastAsia"/>
        </w:rPr>
        <w:t>3km，</w:t>
      </w:r>
      <w:r>
        <w:t>上护林规划新建护岸</w:t>
      </w:r>
      <w:r>
        <w:rPr>
          <w:rFonts w:hint="eastAsia"/>
        </w:rPr>
        <w:t>1.75km，红旗</w:t>
      </w:r>
      <w:r>
        <w:t>屯</w:t>
      </w:r>
      <w:r>
        <w:rPr>
          <w:rFonts w:hint="eastAsia"/>
        </w:rPr>
        <w:t>规划</w:t>
      </w:r>
      <w:r>
        <w:t>新建护岸</w:t>
      </w:r>
      <w:r>
        <w:rPr>
          <w:rFonts w:hint="eastAsia"/>
        </w:rPr>
        <w:t>1km。</w:t>
      </w:r>
    </w:p>
    <w:p w14:paraId="207E9FAC">
      <w:pPr>
        <w:pStyle w:val="130"/>
        <w:spacing w:after="156"/>
        <w:ind w:firstLine="600"/>
      </w:pPr>
      <w:r>
        <w:rPr>
          <w:rFonts w:hint="eastAsia"/>
        </w:rPr>
        <w:t>表</w:t>
      </w:r>
      <w:r>
        <w:t xml:space="preserve">3.3-1 </w:t>
      </w:r>
      <w:r>
        <w:rPr>
          <w:rFonts w:hint="eastAsia"/>
        </w:rPr>
        <w:t>额尔古纳市主要支流治理工程表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1626"/>
        <w:gridCol w:w="2212"/>
        <w:gridCol w:w="2212"/>
        <w:gridCol w:w="2310"/>
      </w:tblGrid>
      <w:tr w14:paraId="2ACC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499" w:type="pct"/>
            <w:vMerge w:val="restart"/>
            <w:vAlign w:val="center"/>
          </w:tcPr>
          <w:p w14:paraId="18D25D89">
            <w:pPr>
              <w:pStyle w:val="131"/>
              <w:rPr>
                <w:b/>
              </w:rPr>
            </w:pPr>
            <w:r>
              <w:rPr>
                <w:rFonts w:hint="eastAsia"/>
                <w:b/>
              </w:rPr>
              <w:t>序号</w:t>
            </w:r>
          </w:p>
        </w:tc>
        <w:tc>
          <w:tcPr>
            <w:tcW w:w="875" w:type="pct"/>
            <w:vMerge w:val="restart"/>
            <w:vAlign w:val="center"/>
          </w:tcPr>
          <w:p w14:paraId="32AD0BDA">
            <w:pPr>
              <w:pStyle w:val="131"/>
              <w:rPr>
                <w:b/>
              </w:rPr>
            </w:pPr>
            <w:r>
              <w:rPr>
                <w:rFonts w:hint="eastAsia"/>
                <w:b/>
              </w:rPr>
              <w:t>所在河流</w:t>
            </w:r>
          </w:p>
        </w:tc>
        <w:tc>
          <w:tcPr>
            <w:tcW w:w="1191" w:type="pct"/>
            <w:vMerge w:val="restart"/>
            <w:vAlign w:val="center"/>
          </w:tcPr>
          <w:p w14:paraId="29AAE063">
            <w:pPr>
              <w:pStyle w:val="131"/>
              <w:rPr>
                <w:b/>
              </w:rPr>
            </w:pPr>
            <w:r>
              <w:rPr>
                <w:rFonts w:hint="eastAsia"/>
                <w:b/>
              </w:rPr>
              <w:t>治理</w:t>
            </w:r>
            <w:r>
              <w:rPr>
                <w:b/>
              </w:rPr>
              <w:t>河段</w:t>
            </w:r>
          </w:p>
        </w:tc>
        <w:tc>
          <w:tcPr>
            <w:tcW w:w="2435" w:type="pct"/>
            <w:gridSpan w:val="2"/>
            <w:vAlign w:val="center"/>
          </w:tcPr>
          <w:p w14:paraId="528D5409">
            <w:pPr>
              <w:pStyle w:val="131"/>
              <w:rPr>
                <w:b/>
              </w:rPr>
            </w:pPr>
            <w:r>
              <w:rPr>
                <w:rFonts w:hint="eastAsia"/>
                <w:b/>
              </w:rPr>
              <w:t>建设内容</w:t>
            </w:r>
          </w:p>
        </w:tc>
      </w:tr>
      <w:tr w14:paraId="524E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499" w:type="pct"/>
            <w:vMerge w:val="continue"/>
            <w:vAlign w:val="center"/>
          </w:tcPr>
          <w:p w14:paraId="3A545894">
            <w:pPr>
              <w:pStyle w:val="131"/>
              <w:rPr>
                <w:b/>
              </w:rPr>
            </w:pPr>
          </w:p>
        </w:tc>
        <w:tc>
          <w:tcPr>
            <w:tcW w:w="875" w:type="pct"/>
            <w:vMerge w:val="continue"/>
            <w:vAlign w:val="center"/>
          </w:tcPr>
          <w:p w14:paraId="0C6C33A4">
            <w:pPr>
              <w:pStyle w:val="131"/>
              <w:rPr>
                <w:b/>
              </w:rPr>
            </w:pPr>
          </w:p>
        </w:tc>
        <w:tc>
          <w:tcPr>
            <w:tcW w:w="1191" w:type="pct"/>
            <w:vMerge w:val="continue"/>
            <w:vAlign w:val="center"/>
          </w:tcPr>
          <w:p w14:paraId="08D80B5F">
            <w:pPr>
              <w:pStyle w:val="131"/>
              <w:rPr>
                <w:b/>
              </w:rPr>
            </w:pPr>
          </w:p>
        </w:tc>
        <w:tc>
          <w:tcPr>
            <w:tcW w:w="1191" w:type="pct"/>
            <w:vAlign w:val="center"/>
          </w:tcPr>
          <w:p w14:paraId="086B5281">
            <w:pPr>
              <w:pStyle w:val="131"/>
              <w:rPr>
                <w:b/>
              </w:rPr>
            </w:pPr>
            <w:r>
              <w:rPr>
                <w:rFonts w:hint="eastAsia"/>
                <w:b/>
              </w:rPr>
              <w:t>新建堤防（km）</w:t>
            </w:r>
          </w:p>
        </w:tc>
        <w:tc>
          <w:tcPr>
            <w:tcW w:w="1244" w:type="pct"/>
            <w:vAlign w:val="center"/>
          </w:tcPr>
          <w:p w14:paraId="0B3F6057">
            <w:pPr>
              <w:pStyle w:val="131"/>
              <w:rPr>
                <w:b/>
              </w:rPr>
            </w:pPr>
            <w:r>
              <w:rPr>
                <w:rFonts w:hint="eastAsia"/>
                <w:b/>
              </w:rPr>
              <w:t>新建护岸（km）</w:t>
            </w:r>
          </w:p>
        </w:tc>
      </w:tr>
      <w:tr w14:paraId="72FF1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restart"/>
            <w:vAlign w:val="center"/>
          </w:tcPr>
          <w:p w14:paraId="0A6DDEC0">
            <w:pPr>
              <w:pStyle w:val="131"/>
            </w:pPr>
            <w:r>
              <w:rPr>
                <w:rFonts w:hint="eastAsia"/>
              </w:rPr>
              <w:t>1</w:t>
            </w:r>
          </w:p>
        </w:tc>
        <w:tc>
          <w:tcPr>
            <w:tcW w:w="875" w:type="pct"/>
            <w:vMerge w:val="restart"/>
            <w:vAlign w:val="center"/>
          </w:tcPr>
          <w:p w14:paraId="57ED1235">
            <w:pPr>
              <w:pStyle w:val="131"/>
            </w:pPr>
            <w:r>
              <w:rPr>
                <w:rFonts w:hint="eastAsia"/>
              </w:rPr>
              <w:t>根河</w:t>
            </w:r>
          </w:p>
        </w:tc>
        <w:tc>
          <w:tcPr>
            <w:tcW w:w="1191" w:type="pct"/>
            <w:vAlign w:val="center"/>
          </w:tcPr>
          <w:p w14:paraId="55842FD4">
            <w:pPr>
              <w:pStyle w:val="131"/>
            </w:pPr>
            <w:r>
              <w:rPr>
                <w:rFonts w:hint="eastAsia"/>
              </w:rPr>
              <w:t>白音</w:t>
            </w:r>
            <w:r>
              <w:t>扎拉</w:t>
            </w:r>
            <w:r>
              <w:rPr>
                <w:rFonts w:hint="eastAsia"/>
              </w:rPr>
              <w:t>嘎</w:t>
            </w:r>
          </w:p>
        </w:tc>
        <w:tc>
          <w:tcPr>
            <w:tcW w:w="1191" w:type="pct"/>
            <w:vAlign w:val="center"/>
          </w:tcPr>
          <w:p w14:paraId="0D26174F">
            <w:pPr>
              <w:pStyle w:val="131"/>
            </w:pPr>
            <w:r>
              <w:rPr>
                <w:rFonts w:hint="eastAsia"/>
              </w:rPr>
              <w:t>2.</w:t>
            </w:r>
            <w:r>
              <w:t>9</w:t>
            </w:r>
          </w:p>
        </w:tc>
        <w:tc>
          <w:tcPr>
            <w:tcW w:w="1244" w:type="pct"/>
            <w:vAlign w:val="center"/>
          </w:tcPr>
          <w:p w14:paraId="2CB2E5FA">
            <w:pPr>
              <w:pStyle w:val="131"/>
            </w:pPr>
            <w:r>
              <w:rPr>
                <w:rFonts w:hint="eastAsia"/>
              </w:rPr>
              <w:t>/</w:t>
            </w:r>
          </w:p>
        </w:tc>
      </w:tr>
      <w:tr w14:paraId="0739C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3D416375">
            <w:pPr>
              <w:pStyle w:val="131"/>
            </w:pPr>
          </w:p>
        </w:tc>
        <w:tc>
          <w:tcPr>
            <w:tcW w:w="875" w:type="pct"/>
            <w:vMerge w:val="continue"/>
            <w:vAlign w:val="center"/>
          </w:tcPr>
          <w:p w14:paraId="2C7F96A9">
            <w:pPr>
              <w:pStyle w:val="131"/>
            </w:pPr>
          </w:p>
        </w:tc>
        <w:tc>
          <w:tcPr>
            <w:tcW w:w="1191" w:type="pct"/>
            <w:vAlign w:val="center"/>
          </w:tcPr>
          <w:p w14:paraId="6F56E044">
            <w:pPr>
              <w:pStyle w:val="131"/>
            </w:pPr>
            <w:r>
              <w:t>市区自来水厂</w:t>
            </w:r>
            <w:r>
              <w:rPr>
                <w:rFonts w:hint="eastAsia"/>
              </w:rPr>
              <w:t>段</w:t>
            </w:r>
          </w:p>
        </w:tc>
        <w:tc>
          <w:tcPr>
            <w:tcW w:w="1191" w:type="pct"/>
            <w:vAlign w:val="center"/>
          </w:tcPr>
          <w:p w14:paraId="5FEEA188">
            <w:pPr>
              <w:pStyle w:val="131"/>
            </w:pPr>
            <w:r>
              <w:rPr>
                <w:rFonts w:hint="eastAsia"/>
              </w:rPr>
              <w:t>1.32</w:t>
            </w:r>
          </w:p>
        </w:tc>
        <w:tc>
          <w:tcPr>
            <w:tcW w:w="1244" w:type="pct"/>
            <w:vAlign w:val="center"/>
          </w:tcPr>
          <w:p w14:paraId="589C32CF">
            <w:pPr>
              <w:pStyle w:val="131"/>
            </w:pPr>
            <w:r>
              <w:rPr>
                <w:rFonts w:hint="eastAsia"/>
              </w:rPr>
              <w:t>0.27</w:t>
            </w:r>
          </w:p>
        </w:tc>
      </w:tr>
      <w:tr w14:paraId="1648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735A566F">
            <w:pPr>
              <w:pStyle w:val="131"/>
            </w:pPr>
          </w:p>
        </w:tc>
        <w:tc>
          <w:tcPr>
            <w:tcW w:w="875" w:type="pct"/>
            <w:vMerge w:val="continue"/>
            <w:vAlign w:val="center"/>
          </w:tcPr>
          <w:p w14:paraId="05D86F0B">
            <w:pPr>
              <w:pStyle w:val="131"/>
            </w:pPr>
          </w:p>
        </w:tc>
        <w:tc>
          <w:tcPr>
            <w:tcW w:w="1191" w:type="pct"/>
            <w:vAlign w:val="center"/>
          </w:tcPr>
          <w:p w14:paraId="2266F019">
            <w:pPr>
              <w:pStyle w:val="131"/>
            </w:pPr>
            <w:r>
              <w:rPr>
                <w:rFonts w:hint="eastAsia"/>
              </w:rPr>
              <w:t>大</w:t>
            </w:r>
            <w:r>
              <w:t>立山村</w:t>
            </w:r>
          </w:p>
        </w:tc>
        <w:tc>
          <w:tcPr>
            <w:tcW w:w="1191" w:type="pct"/>
            <w:vAlign w:val="center"/>
          </w:tcPr>
          <w:p w14:paraId="6E1B24E3">
            <w:pPr>
              <w:pStyle w:val="131"/>
            </w:pPr>
            <w:r>
              <w:rPr>
                <w:rFonts w:hint="eastAsia"/>
              </w:rPr>
              <w:t>/</w:t>
            </w:r>
          </w:p>
        </w:tc>
        <w:tc>
          <w:tcPr>
            <w:tcW w:w="1244" w:type="pct"/>
            <w:vAlign w:val="center"/>
          </w:tcPr>
          <w:p w14:paraId="75F4FA16">
            <w:pPr>
              <w:pStyle w:val="131"/>
            </w:pPr>
            <w:r>
              <w:rPr>
                <w:rFonts w:hint="eastAsia"/>
              </w:rPr>
              <w:t>1.08</w:t>
            </w:r>
          </w:p>
        </w:tc>
      </w:tr>
      <w:tr w14:paraId="4097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7C6EA252">
            <w:pPr>
              <w:pStyle w:val="131"/>
            </w:pPr>
          </w:p>
        </w:tc>
        <w:tc>
          <w:tcPr>
            <w:tcW w:w="875" w:type="pct"/>
            <w:vMerge w:val="continue"/>
            <w:vAlign w:val="center"/>
          </w:tcPr>
          <w:p w14:paraId="0C238BAD">
            <w:pPr>
              <w:pStyle w:val="131"/>
            </w:pPr>
          </w:p>
        </w:tc>
        <w:tc>
          <w:tcPr>
            <w:tcW w:w="1191" w:type="pct"/>
            <w:vAlign w:val="center"/>
          </w:tcPr>
          <w:p w14:paraId="49BAD3F3">
            <w:pPr>
              <w:pStyle w:val="131"/>
            </w:pPr>
            <w:r>
              <w:rPr>
                <w:rFonts w:hint="eastAsia"/>
              </w:rPr>
              <w:t>市区段</w:t>
            </w:r>
          </w:p>
        </w:tc>
        <w:tc>
          <w:tcPr>
            <w:tcW w:w="1191" w:type="pct"/>
          </w:tcPr>
          <w:p w14:paraId="63C2D67A">
            <w:pPr>
              <w:pStyle w:val="131"/>
            </w:pPr>
            <w:r>
              <w:rPr>
                <w:rFonts w:hint="eastAsia"/>
              </w:rPr>
              <w:t>/</w:t>
            </w:r>
          </w:p>
        </w:tc>
        <w:tc>
          <w:tcPr>
            <w:tcW w:w="1244" w:type="pct"/>
            <w:vAlign w:val="center"/>
          </w:tcPr>
          <w:p w14:paraId="01C446AA">
            <w:pPr>
              <w:pStyle w:val="131"/>
            </w:pPr>
            <w:r>
              <w:rPr>
                <w:rFonts w:hint="eastAsia"/>
              </w:rPr>
              <w:t>0.55</w:t>
            </w:r>
          </w:p>
        </w:tc>
      </w:tr>
      <w:tr w14:paraId="28A8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26D9BB6F">
            <w:pPr>
              <w:pStyle w:val="131"/>
            </w:pPr>
          </w:p>
        </w:tc>
        <w:tc>
          <w:tcPr>
            <w:tcW w:w="875" w:type="pct"/>
            <w:vMerge w:val="continue"/>
            <w:vAlign w:val="center"/>
          </w:tcPr>
          <w:p w14:paraId="613AE9B6">
            <w:pPr>
              <w:pStyle w:val="131"/>
            </w:pPr>
          </w:p>
        </w:tc>
        <w:tc>
          <w:tcPr>
            <w:tcW w:w="1191" w:type="pct"/>
            <w:vAlign w:val="center"/>
          </w:tcPr>
          <w:p w14:paraId="3F9EAB0F">
            <w:pPr>
              <w:pStyle w:val="131"/>
            </w:pPr>
            <w:r>
              <w:t>楚鲁图村</w:t>
            </w:r>
          </w:p>
        </w:tc>
        <w:tc>
          <w:tcPr>
            <w:tcW w:w="1191" w:type="pct"/>
          </w:tcPr>
          <w:p w14:paraId="0D32A5D8">
            <w:pPr>
              <w:pStyle w:val="131"/>
            </w:pPr>
            <w:r>
              <w:rPr>
                <w:rFonts w:hint="eastAsia"/>
              </w:rPr>
              <w:t>/</w:t>
            </w:r>
          </w:p>
        </w:tc>
        <w:tc>
          <w:tcPr>
            <w:tcW w:w="1244" w:type="pct"/>
            <w:vAlign w:val="center"/>
          </w:tcPr>
          <w:p w14:paraId="6EF8C33C">
            <w:pPr>
              <w:pStyle w:val="131"/>
            </w:pPr>
            <w:r>
              <w:rPr>
                <w:rFonts w:hint="eastAsia"/>
              </w:rPr>
              <w:t>0.43</w:t>
            </w:r>
          </w:p>
        </w:tc>
      </w:tr>
      <w:tr w14:paraId="24B1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3EEAE429">
            <w:pPr>
              <w:pStyle w:val="131"/>
            </w:pPr>
          </w:p>
        </w:tc>
        <w:tc>
          <w:tcPr>
            <w:tcW w:w="875" w:type="pct"/>
            <w:vMerge w:val="continue"/>
            <w:vAlign w:val="center"/>
          </w:tcPr>
          <w:p w14:paraId="7B336FC6">
            <w:pPr>
              <w:pStyle w:val="131"/>
            </w:pPr>
          </w:p>
        </w:tc>
        <w:tc>
          <w:tcPr>
            <w:tcW w:w="1191" w:type="pct"/>
            <w:vAlign w:val="center"/>
          </w:tcPr>
          <w:p w14:paraId="01142486">
            <w:pPr>
              <w:pStyle w:val="131"/>
            </w:pPr>
            <w:r>
              <w:t>桦树林村</w:t>
            </w:r>
          </w:p>
        </w:tc>
        <w:tc>
          <w:tcPr>
            <w:tcW w:w="1191" w:type="pct"/>
          </w:tcPr>
          <w:p w14:paraId="06A865F8">
            <w:pPr>
              <w:pStyle w:val="131"/>
            </w:pPr>
            <w:r>
              <w:rPr>
                <w:rFonts w:hint="eastAsia"/>
              </w:rPr>
              <w:t>/</w:t>
            </w:r>
          </w:p>
        </w:tc>
        <w:tc>
          <w:tcPr>
            <w:tcW w:w="1244" w:type="pct"/>
            <w:vAlign w:val="center"/>
          </w:tcPr>
          <w:p w14:paraId="2142509D">
            <w:pPr>
              <w:pStyle w:val="131"/>
            </w:pPr>
            <w:r>
              <w:rPr>
                <w:rFonts w:hint="eastAsia"/>
              </w:rPr>
              <w:t>0.94</w:t>
            </w:r>
          </w:p>
        </w:tc>
      </w:tr>
      <w:tr w14:paraId="1BC3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27EBEF95">
            <w:pPr>
              <w:pStyle w:val="131"/>
            </w:pPr>
          </w:p>
        </w:tc>
        <w:tc>
          <w:tcPr>
            <w:tcW w:w="875" w:type="pct"/>
            <w:vMerge w:val="continue"/>
            <w:vAlign w:val="center"/>
          </w:tcPr>
          <w:p w14:paraId="46C6B466">
            <w:pPr>
              <w:pStyle w:val="131"/>
            </w:pPr>
          </w:p>
        </w:tc>
        <w:tc>
          <w:tcPr>
            <w:tcW w:w="1191" w:type="pct"/>
            <w:vAlign w:val="center"/>
          </w:tcPr>
          <w:p w14:paraId="3F073621">
            <w:pPr>
              <w:pStyle w:val="131"/>
            </w:pPr>
            <w:r>
              <w:t>西地营子屯</w:t>
            </w:r>
          </w:p>
        </w:tc>
        <w:tc>
          <w:tcPr>
            <w:tcW w:w="1191" w:type="pct"/>
          </w:tcPr>
          <w:p w14:paraId="3CF83540">
            <w:pPr>
              <w:pStyle w:val="131"/>
            </w:pPr>
            <w:r>
              <w:rPr>
                <w:rFonts w:hint="eastAsia"/>
              </w:rPr>
              <w:t>/</w:t>
            </w:r>
          </w:p>
        </w:tc>
        <w:tc>
          <w:tcPr>
            <w:tcW w:w="1244" w:type="pct"/>
            <w:vAlign w:val="center"/>
          </w:tcPr>
          <w:p w14:paraId="1DBAB5DD">
            <w:pPr>
              <w:pStyle w:val="131"/>
            </w:pPr>
            <w:r>
              <w:rPr>
                <w:rFonts w:hint="eastAsia"/>
              </w:rPr>
              <w:t>0.97</w:t>
            </w:r>
          </w:p>
        </w:tc>
      </w:tr>
      <w:tr w14:paraId="76ED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275C8615">
            <w:pPr>
              <w:pStyle w:val="131"/>
            </w:pPr>
          </w:p>
        </w:tc>
        <w:tc>
          <w:tcPr>
            <w:tcW w:w="875" w:type="pct"/>
            <w:vMerge w:val="continue"/>
            <w:vAlign w:val="center"/>
          </w:tcPr>
          <w:p w14:paraId="504DD7CA">
            <w:pPr>
              <w:pStyle w:val="131"/>
            </w:pPr>
          </w:p>
        </w:tc>
        <w:tc>
          <w:tcPr>
            <w:tcW w:w="1191" w:type="pct"/>
            <w:vAlign w:val="center"/>
          </w:tcPr>
          <w:p w14:paraId="1E7D96DF">
            <w:pPr>
              <w:pStyle w:val="131"/>
            </w:pPr>
            <w:r>
              <w:t>梁西村</w:t>
            </w:r>
          </w:p>
        </w:tc>
        <w:tc>
          <w:tcPr>
            <w:tcW w:w="1191" w:type="pct"/>
            <w:vAlign w:val="center"/>
          </w:tcPr>
          <w:p w14:paraId="1F8B6372">
            <w:pPr>
              <w:pStyle w:val="131"/>
            </w:pPr>
          </w:p>
        </w:tc>
        <w:tc>
          <w:tcPr>
            <w:tcW w:w="1244" w:type="pct"/>
            <w:vAlign w:val="center"/>
          </w:tcPr>
          <w:p w14:paraId="30A15C25">
            <w:pPr>
              <w:pStyle w:val="131"/>
            </w:pPr>
            <w:r>
              <w:rPr>
                <w:rFonts w:hint="eastAsia"/>
              </w:rPr>
              <w:t>1.67</w:t>
            </w:r>
          </w:p>
        </w:tc>
      </w:tr>
      <w:tr w14:paraId="6D54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restart"/>
            <w:vAlign w:val="center"/>
          </w:tcPr>
          <w:p w14:paraId="64288FA5">
            <w:pPr>
              <w:pStyle w:val="131"/>
            </w:pPr>
            <w:r>
              <w:rPr>
                <w:rFonts w:hint="eastAsia"/>
              </w:rPr>
              <w:t>2</w:t>
            </w:r>
          </w:p>
        </w:tc>
        <w:tc>
          <w:tcPr>
            <w:tcW w:w="875" w:type="pct"/>
            <w:vMerge w:val="restart"/>
            <w:vAlign w:val="center"/>
          </w:tcPr>
          <w:p w14:paraId="052EC268">
            <w:pPr>
              <w:pStyle w:val="131"/>
            </w:pPr>
            <w:r>
              <w:rPr>
                <w:rFonts w:hint="eastAsia"/>
              </w:rPr>
              <w:t>得尔布干河</w:t>
            </w:r>
          </w:p>
        </w:tc>
        <w:tc>
          <w:tcPr>
            <w:tcW w:w="1191" w:type="pct"/>
            <w:vAlign w:val="center"/>
          </w:tcPr>
          <w:p w14:paraId="74F6C8E9">
            <w:pPr>
              <w:pStyle w:val="131"/>
            </w:pPr>
            <w:r>
              <w:t>团结村</w:t>
            </w:r>
          </w:p>
        </w:tc>
        <w:tc>
          <w:tcPr>
            <w:tcW w:w="1191" w:type="pct"/>
            <w:vAlign w:val="center"/>
          </w:tcPr>
          <w:p w14:paraId="797B25DD">
            <w:pPr>
              <w:pStyle w:val="131"/>
            </w:pPr>
            <w:r>
              <w:rPr>
                <w:rFonts w:hint="eastAsia"/>
              </w:rPr>
              <w:t>2.47</w:t>
            </w:r>
          </w:p>
        </w:tc>
        <w:tc>
          <w:tcPr>
            <w:tcW w:w="1244" w:type="pct"/>
            <w:vAlign w:val="center"/>
          </w:tcPr>
          <w:p w14:paraId="176F2009">
            <w:pPr>
              <w:pStyle w:val="131"/>
            </w:pPr>
            <w:r>
              <w:rPr>
                <w:rFonts w:hint="eastAsia"/>
              </w:rPr>
              <w:t>/</w:t>
            </w:r>
          </w:p>
        </w:tc>
      </w:tr>
      <w:tr w14:paraId="3677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4B868F0F">
            <w:pPr>
              <w:pStyle w:val="131"/>
            </w:pPr>
          </w:p>
        </w:tc>
        <w:tc>
          <w:tcPr>
            <w:tcW w:w="875" w:type="pct"/>
            <w:vMerge w:val="continue"/>
            <w:vAlign w:val="center"/>
          </w:tcPr>
          <w:p w14:paraId="472E8275">
            <w:pPr>
              <w:pStyle w:val="131"/>
            </w:pPr>
          </w:p>
        </w:tc>
        <w:tc>
          <w:tcPr>
            <w:tcW w:w="1191" w:type="pct"/>
            <w:vAlign w:val="center"/>
          </w:tcPr>
          <w:p w14:paraId="1BAAD3B7">
            <w:pPr>
              <w:pStyle w:val="131"/>
            </w:pPr>
            <w:r>
              <w:t>建设村</w:t>
            </w:r>
          </w:p>
        </w:tc>
        <w:tc>
          <w:tcPr>
            <w:tcW w:w="1191" w:type="pct"/>
            <w:vAlign w:val="center"/>
          </w:tcPr>
          <w:p w14:paraId="45A67E72">
            <w:pPr>
              <w:pStyle w:val="131"/>
            </w:pPr>
            <w:r>
              <w:rPr>
                <w:rFonts w:hint="eastAsia"/>
              </w:rPr>
              <w:t>2.77</w:t>
            </w:r>
          </w:p>
        </w:tc>
        <w:tc>
          <w:tcPr>
            <w:tcW w:w="1244" w:type="pct"/>
            <w:vAlign w:val="center"/>
          </w:tcPr>
          <w:p w14:paraId="00A7AE3F">
            <w:pPr>
              <w:pStyle w:val="131"/>
            </w:pPr>
            <w:r>
              <w:rPr>
                <w:rFonts w:hint="eastAsia"/>
              </w:rPr>
              <w:t>0.9</w:t>
            </w:r>
          </w:p>
        </w:tc>
      </w:tr>
      <w:tr w14:paraId="6D3C9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67673373">
            <w:pPr>
              <w:pStyle w:val="131"/>
            </w:pPr>
          </w:p>
        </w:tc>
        <w:tc>
          <w:tcPr>
            <w:tcW w:w="875" w:type="pct"/>
            <w:vMerge w:val="continue"/>
            <w:vAlign w:val="center"/>
          </w:tcPr>
          <w:p w14:paraId="253D879B">
            <w:pPr>
              <w:pStyle w:val="131"/>
            </w:pPr>
          </w:p>
        </w:tc>
        <w:tc>
          <w:tcPr>
            <w:tcW w:w="1191" w:type="pct"/>
            <w:vAlign w:val="center"/>
          </w:tcPr>
          <w:p w14:paraId="25B2CEF0">
            <w:pPr>
              <w:pStyle w:val="131"/>
            </w:pPr>
            <w:r>
              <w:t>苏沁回民乡</w:t>
            </w:r>
          </w:p>
        </w:tc>
        <w:tc>
          <w:tcPr>
            <w:tcW w:w="1191" w:type="pct"/>
            <w:vAlign w:val="center"/>
          </w:tcPr>
          <w:p w14:paraId="7C1C0BB8">
            <w:pPr>
              <w:pStyle w:val="131"/>
            </w:pPr>
            <w:r>
              <w:rPr>
                <w:rFonts w:hint="eastAsia"/>
              </w:rPr>
              <w:t>3</w:t>
            </w:r>
          </w:p>
        </w:tc>
        <w:tc>
          <w:tcPr>
            <w:tcW w:w="1244" w:type="pct"/>
            <w:vAlign w:val="center"/>
          </w:tcPr>
          <w:p w14:paraId="2E7DD511">
            <w:pPr>
              <w:pStyle w:val="131"/>
            </w:pPr>
            <w:r>
              <w:rPr>
                <w:rFonts w:hint="eastAsia"/>
              </w:rPr>
              <w:t>/</w:t>
            </w:r>
          </w:p>
        </w:tc>
      </w:tr>
      <w:tr w14:paraId="5693D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6B8F5601">
            <w:pPr>
              <w:pStyle w:val="131"/>
            </w:pPr>
          </w:p>
        </w:tc>
        <w:tc>
          <w:tcPr>
            <w:tcW w:w="875" w:type="pct"/>
            <w:vMerge w:val="continue"/>
            <w:vAlign w:val="center"/>
          </w:tcPr>
          <w:p w14:paraId="7D666FE1">
            <w:pPr>
              <w:pStyle w:val="131"/>
            </w:pPr>
          </w:p>
        </w:tc>
        <w:tc>
          <w:tcPr>
            <w:tcW w:w="1191" w:type="pct"/>
            <w:vAlign w:val="center"/>
          </w:tcPr>
          <w:p w14:paraId="1839DF43">
            <w:pPr>
              <w:pStyle w:val="131"/>
            </w:pPr>
            <w:r>
              <w:t>机耕村</w:t>
            </w:r>
          </w:p>
        </w:tc>
        <w:tc>
          <w:tcPr>
            <w:tcW w:w="1191" w:type="pct"/>
          </w:tcPr>
          <w:p w14:paraId="77DFDF72">
            <w:pPr>
              <w:pStyle w:val="131"/>
            </w:pPr>
            <w:r>
              <w:rPr>
                <w:rFonts w:hint="eastAsia"/>
              </w:rPr>
              <w:t>/</w:t>
            </w:r>
          </w:p>
        </w:tc>
        <w:tc>
          <w:tcPr>
            <w:tcW w:w="1244" w:type="pct"/>
            <w:vAlign w:val="center"/>
          </w:tcPr>
          <w:p w14:paraId="38399531">
            <w:pPr>
              <w:pStyle w:val="131"/>
            </w:pPr>
            <w:r>
              <w:rPr>
                <w:rFonts w:hint="eastAsia"/>
              </w:rPr>
              <w:t>1.63</w:t>
            </w:r>
          </w:p>
        </w:tc>
      </w:tr>
      <w:tr w14:paraId="6D7D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24601C29">
            <w:pPr>
              <w:pStyle w:val="131"/>
            </w:pPr>
          </w:p>
        </w:tc>
        <w:tc>
          <w:tcPr>
            <w:tcW w:w="875" w:type="pct"/>
            <w:vMerge w:val="continue"/>
            <w:vAlign w:val="center"/>
          </w:tcPr>
          <w:p w14:paraId="52E38683">
            <w:pPr>
              <w:pStyle w:val="131"/>
            </w:pPr>
          </w:p>
        </w:tc>
        <w:tc>
          <w:tcPr>
            <w:tcW w:w="1191" w:type="pct"/>
            <w:vAlign w:val="center"/>
          </w:tcPr>
          <w:p w14:paraId="03924768">
            <w:pPr>
              <w:pStyle w:val="131"/>
            </w:pPr>
            <w:r>
              <w:t>得尔布屯</w:t>
            </w:r>
          </w:p>
        </w:tc>
        <w:tc>
          <w:tcPr>
            <w:tcW w:w="1191" w:type="pct"/>
          </w:tcPr>
          <w:p w14:paraId="6B20372B">
            <w:pPr>
              <w:pStyle w:val="131"/>
            </w:pPr>
            <w:r>
              <w:rPr>
                <w:rFonts w:hint="eastAsia"/>
              </w:rPr>
              <w:t>/</w:t>
            </w:r>
          </w:p>
        </w:tc>
        <w:tc>
          <w:tcPr>
            <w:tcW w:w="1244" w:type="pct"/>
            <w:vAlign w:val="center"/>
          </w:tcPr>
          <w:p w14:paraId="406FF5B5">
            <w:pPr>
              <w:pStyle w:val="131"/>
            </w:pPr>
            <w:r>
              <w:rPr>
                <w:rFonts w:hint="eastAsia"/>
              </w:rPr>
              <w:t>0.86</w:t>
            </w:r>
          </w:p>
        </w:tc>
      </w:tr>
      <w:tr w14:paraId="106E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145B8BEE">
            <w:pPr>
              <w:pStyle w:val="131"/>
            </w:pPr>
          </w:p>
        </w:tc>
        <w:tc>
          <w:tcPr>
            <w:tcW w:w="875" w:type="pct"/>
            <w:vMerge w:val="continue"/>
            <w:vAlign w:val="center"/>
          </w:tcPr>
          <w:p w14:paraId="5CBAC5BD">
            <w:pPr>
              <w:pStyle w:val="131"/>
            </w:pPr>
          </w:p>
        </w:tc>
        <w:tc>
          <w:tcPr>
            <w:tcW w:w="1191" w:type="pct"/>
            <w:vAlign w:val="center"/>
          </w:tcPr>
          <w:p w14:paraId="75396D6A">
            <w:pPr>
              <w:pStyle w:val="131"/>
            </w:pPr>
            <w:r>
              <w:t>上护林</w:t>
            </w:r>
          </w:p>
        </w:tc>
        <w:tc>
          <w:tcPr>
            <w:tcW w:w="1191" w:type="pct"/>
          </w:tcPr>
          <w:p w14:paraId="326DB531">
            <w:pPr>
              <w:pStyle w:val="131"/>
            </w:pPr>
            <w:r>
              <w:rPr>
                <w:rFonts w:hint="eastAsia"/>
              </w:rPr>
              <w:t>/</w:t>
            </w:r>
          </w:p>
        </w:tc>
        <w:tc>
          <w:tcPr>
            <w:tcW w:w="1244" w:type="pct"/>
            <w:vAlign w:val="center"/>
          </w:tcPr>
          <w:p w14:paraId="7CC18D9D">
            <w:pPr>
              <w:pStyle w:val="131"/>
            </w:pPr>
            <w:r>
              <w:rPr>
                <w:rFonts w:hint="eastAsia"/>
              </w:rPr>
              <w:t>1.75</w:t>
            </w:r>
          </w:p>
        </w:tc>
      </w:tr>
      <w:tr w14:paraId="2CEEA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99" w:type="pct"/>
            <w:vMerge w:val="continue"/>
            <w:vAlign w:val="center"/>
          </w:tcPr>
          <w:p w14:paraId="71C93ACF">
            <w:pPr>
              <w:pStyle w:val="131"/>
            </w:pPr>
          </w:p>
        </w:tc>
        <w:tc>
          <w:tcPr>
            <w:tcW w:w="875" w:type="pct"/>
            <w:vMerge w:val="continue"/>
            <w:vAlign w:val="center"/>
          </w:tcPr>
          <w:p w14:paraId="5EB94EDA">
            <w:pPr>
              <w:pStyle w:val="131"/>
            </w:pPr>
          </w:p>
        </w:tc>
        <w:tc>
          <w:tcPr>
            <w:tcW w:w="1191" w:type="pct"/>
            <w:vAlign w:val="center"/>
          </w:tcPr>
          <w:p w14:paraId="6FA0516E">
            <w:pPr>
              <w:pStyle w:val="131"/>
            </w:pPr>
            <w:r>
              <w:rPr>
                <w:rFonts w:hint="eastAsia"/>
              </w:rPr>
              <w:t>红旗</w:t>
            </w:r>
            <w:r>
              <w:t>屯</w:t>
            </w:r>
          </w:p>
        </w:tc>
        <w:tc>
          <w:tcPr>
            <w:tcW w:w="1191" w:type="pct"/>
          </w:tcPr>
          <w:p w14:paraId="48528861">
            <w:pPr>
              <w:pStyle w:val="131"/>
            </w:pPr>
            <w:r>
              <w:rPr>
                <w:rFonts w:hint="eastAsia"/>
              </w:rPr>
              <w:t>/</w:t>
            </w:r>
          </w:p>
        </w:tc>
        <w:tc>
          <w:tcPr>
            <w:tcW w:w="1244" w:type="pct"/>
            <w:vAlign w:val="center"/>
          </w:tcPr>
          <w:p w14:paraId="407C05BD">
            <w:pPr>
              <w:pStyle w:val="131"/>
            </w:pPr>
            <w:r>
              <w:rPr>
                <w:rFonts w:hint="eastAsia"/>
              </w:rPr>
              <w:t>1</w:t>
            </w:r>
          </w:p>
        </w:tc>
      </w:tr>
    </w:tbl>
    <w:p w14:paraId="0CC909F6">
      <w:pPr>
        <w:pStyle w:val="64"/>
      </w:pPr>
      <w:r>
        <w:t>2</w:t>
      </w:r>
      <w:r>
        <w:rPr>
          <w:rFonts w:hint="eastAsia"/>
        </w:rPr>
        <w:t>. 中小河流</w:t>
      </w:r>
      <w:r>
        <w:t>治理</w:t>
      </w:r>
    </w:p>
    <w:p w14:paraId="5CE7C8F0">
      <w:pPr>
        <w:pStyle w:val="82"/>
        <w:ind w:firstLine="648"/>
      </w:pPr>
      <w:r>
        <w:rPr>
          <w:rFonts w:hint="eastAsia"/>
        </w:rPr>
        <w:t>额尔古纳市中小河流共38条，其中有防洪任务的河流共9条，4条河流已治理，包括莫尔道嘎河、敦达库力河、东南沟、多博库塞河。本次规划对其余5条有防洪任务的河流进行治理，以受洪水威胁、人口规模较大的乡镇、</w:t>
      </w:r>
      <w:r>
        <w:t>村庄</w:t>
      </w:r>
      <w:r>
        <w:rPr>
          <w:rFonts w:hint="eastAsia"/>
        </w:rPr>
        <w:t>为重点，主要以提升河道行洪能力为主，兼顾上下游、左右岸，根据不同河流特点，因地制宜地完善堤防、护岸工程建设。对莫尔道嘎河和多博库塞河因河水冲刷导致的堤角进行加固，保障工程安全。</w:t>
      </w:r>
    </w:p>
    <w:p w14:paraId="47E000C9">
      <w:pPr>
        <w:pStyle w:val="82"/>
        <w:ind w:firstLine="648"/>
      </w:pPr>
      <w:r>
        <w:t>规划对</w:t>
      </w:r>
      <w:r>
        <w:rPr>
          <w:rFonts w:hint="eastAsia"/>
        </w:rPr>
        <w:t>巴尔扎贯郭勒、哈乌鲁河、太平镇河、依根河、那尔莫格其沟、莫尔道嘎河和多博库塞河等</w:t>
      </w:r>
      <w:r>
        <w:t>7</w:t>
      </w:r>
      <w:r>
        <w:rPr>
          <w:rFonts w:hint="eastAsia"/>
        </w:rPr>
        <w:t>条</w:t>
      </w:r>
      <w:r>
        <w:t>中小河流进行治理，综合治理河长</w:t>
      </w:r>
      <w:r>
        <w:rPr>
          <w:rFonts w:hint="eastAsia"/>
        </w:rPr>
        <w:t>1</w:t>
      </w:r>
      <w:r>
        <w:t>9.68</w:t>
      </w:r>
      <w:r>
        <w:rPr>
          <w:rFonts w:hint="eastAsia"/>
        </w:rPr>
        <w:t>km，包括新建堤防</w:t>
      </w:r>
      <w:r>
        <w:t>18.25km，</w:t>
      </w:r>
      <w:r>
        <w:rPr>
          <w:rFonts w:hint="eastAsia"/>
        </w:rPr>
        <w:t>新建</w:t>
      </w:r>
      <w:r>
        <w:t>护岸1.38</w:t>
      </w:r>
      <w:r>
        <w:rPr>
          <w:rFonts w:hint="eastAsia"/>
        </w:rPr>
        <w:t>km，</w:t>
      </w:r>
      <w:r>
        <w:t>新建防洪墙</w:t>
      </w:r>
      <w:r>
        <w:rPr>
          <w:rFonts w:hint="eastAsia"/>
        </w:rPr>
        <w:t>2.</w:t>
      </w:r>
      <w:r>
        <w:t>632</w:t>
      </w:r>
      <w:r>
        <w:rPr>
          <w:rFonts w:hint="eastAsia"/>
        </w:rPr>
        <w:t>km，加固堤防4</w:t>
      </w:r>
      <w:r>
        <w:t>.5</w:t>
      </w:r>
      <w:r>
        <w:rPr>
          <w:rFonts w:hint="eastAsia"/>
        </w:rPr>
        <w:t>km。</w:t>
      </w:r>
    </w:p>
    <w:p w14:paraId="5198EF54">
      <w:pPr>
        <w:pStyle w:val="130"/>
        <w:spacing w:after="156"/>
        <w:ind w:firstLine="600"/>
      </w:pPr>
      <w:r>
        <w:rPr>
          <w:rFonts w:hint="eastAsia"/>
        </w:rPr>
        <w:t>表</w:t>
      </w:r>
      <w:r>
        <w:t xml:space="preserve">3.3-2 </w:t>
      </w:r>
      <w:r>
        <w:rPr>
          <w:rFonts w:hint="eastAsia"/>
        </w:rPr>
        <w:t>额尔古纳市中小河流治理工程表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919"/>
        <w:gridCol w:w="1161"/>
        <w:gridCol w:w="1743"/>
        <w:gridCol w:w="1309"/>
        <w:gridCol w:w="1162"/>
        <w:gridCol w:w="1311"/>
        <w:gridCol w:w="1150"/>
      </w:tblGrid>
      <w:tr w14:paraId="23EFE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285" w:type="pct"/>
            <w:vMerge w:val="restart"/>
            <w:vAlign w:val="center"/>
          </w:tcPr>
          <w:p w14:paraId="441D774F">
            <w:pPr>
              <w:pStyle w:val="131"/>
              <w:rPr>
                <w:b/>
              </w:rPr>
            </w:pPr>
            <w:r>
              <w:rPr>
                <w:rFonts w:hint="eastAsia"/>
                <w:b/>
              </w:rPr>
              <w:t>序号</w:t>
            </w:r>
          </w:p>
        </w:tc>
        <w:tc>
          <w:tcPr>
            <w:tcW w:w="495" w:type="pct"/>
            <w:vMerge w:val="restart"/>
            <w:vAlign w:val="center"/>
          </w:tcPr>
          <w:p w14:paraId="12CE944B">
            <w:pPr>
              <w:pStyle w:val="131"/>
              <w:rPr>
                <w:b/>
              </w:rPr>
            </w:pPr>
            <w:r>
              <w:rPr>
                <w:rFonts w:hint="eastAsia"/>
                <w:b/>
              </w:rPr>
              <w:t>所在河流</w:t>
            </w:r>
          </w:p>
        </w:tc>
        <w:tc>
          <w:tcPr>
            <w:tcW w:w="625" w:type="pct"/>
            <w:vMerge w:val="restart"/>
            <w:vAlign w:val="center"/>
          </w:tcPr>
          <w:p w14:paraId="0BEEDF50">
            <w:pPr>
              <w:pStyle w:val="131"/>
              <w:rPr>
                <w:b/>
              </w:rPr>
            </w:pPr>
            <w:r>
              <w:rPr>
                <w:rFonts w:hint="eastAsia"/>
                <w:b/>
              </w:rPr>
              <w:t>整治河长（km）</w:t>
            </w:r>
          </w:p>
        </w:tc>
        <w:tc>
          <w:tcPr>
            <w:tcW w:w="939" w:type="pct"/>
            <w:vMerge w:val="restart"/>
            <w:vAlign w:val="center"/>
          </w:tcPr>
          <w:p w14:paraId="7CEF1C43">
            <w:pPr>
              <w:pStyle w:val="131"/>
              <w:rPr>
                <w:b/>
              </w:rPr>
            </w:pPr>
            <w:r>
              <w:rPr>
                <w:rFonts w:hint="eastAsia"/>
                <w:b/>
              </w:rPr>
              <w:t>治理</w:t>
            </w:r>
            <w:r>
              <w:rPr>
                <w:b/>
              </w:rPr>
              <w:t>河段</w:t>
            </w:r>
          </w:p>
        </w:tc>
        <w:tc>
          <w:tcPr>
            <w:tcW w:w="2656" w:type="pct"/>
            <w:gridSpan w:val="4"/>
            <w:vAlign w:val="center"/>
          </w:tcPr>
          <w:p w14:paraId="497DE181">
            <w:pPr>
              <w:pStyle w:val="131"/>
              <w:rPr>
                <w:b/>
              </w:rPr>
            </w:pPr>
            <w:r>
              <w:rPr>
                <w:rFonts w:hint="eastAsia"/>
                <w:b/>
              </w:rPr>
              <w:t>建设内容</w:t>
            </w:r>
          </w:p>
        </w:tc>
      </w:tr>
      <w:tr w14:paraId="1271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285" w:type="pct"/>
            <w:vMerge w:val="continue"/>
            <w:vAlign w:val="center"/>
          </w:tcPr>
          <w:p w14:paraId="6FAD4BFC">
            <w:pPr>
              <w:pStyle w:val="131"/>
              <w:rPr>
                <w:b/>
              </w:rPr>
            </w:pPr>
          </w:p>
        </w:tc>
        <w:tc>
          <w:tcPr>
            <w:tcW w:w="495" w:type="pct"/>
            <w:vMerge w:val="continue"/>
            <w:vAlign w:val="center"/>
          </w:tcPr>
          <w:p w14:paraId="77BB6024">
            <w:pPr>
              <w:pStyle w:val="131"/>
              <w:rPr>
                <w:b/>
              </w:rPr>
            </w:pPr>
          </w:p>
        </w:tc>
        <w:tc>
          <w:tcPr>
            <w:tcW w:w="625" w:type="pct"/>
            <w:vMerge w:val="continue"/>
            <w:vAlign w:val="center"/>
          </w:tcPr>
          <w:p w14:paraId="4EBE347A">
            <w:pPr>
              <w:pStyle w:val="131"/>
              <w:rPr>
                <w:b/>
              </w:rPr>
            </w:pPr>
          </w:p>
        </w:tc>
        <w:tc>
          <w:tcPr>
            <w:tcW w:w="939" w:type="pct"/>
            <w:vMerge w:val="continue"/>
            <w:vAlign w:val="center"/>
          </w:tcPr>
          <w:p w14:paraId="4AEF81FD">
            <w:pPr>
              <w:pStyle w:val="131"/>
              <w:rPr>
                <w:b/>
              </w:rPr>
            </w:pPr>
          </w:p>
        </w:tc>
        <w:tc>
          <w:tcPr>
            <w:tcW w:w="705" w:type="pct"/>
            <w:vAlign w:val="center"/>
          </w:tcPr>
          <w:p w14:paraId="0B83C0E4">
            <w:pPr>
              <w:pStyle w:val="131"/>
              <w:rPr>
                <w:b/>
              </w:rPr>
            </w:pPr>
            <w:r>
              <w:rPr>
                <w:rFonts w:hint="eastAsia"/>
                <w:b/>
              </w:rPr>
              <w:t>新建堤防（km）</w:t>
            </w:r>
          </w:p>
        </w:tc>
        <w:tc>
          <w:tcPr>
            <w:tcW w:w="626" w:type="pct"/>
            <w:vAlign w:val="center"/>
          </w:tcPr>
          <w:p w14:paraId="48DA6BCB">
            <w:pPr>
              <w:pStyle w:val="131"/>
              <w:rPr>
                <w:b/>
              </w:rPr>
            </w:pPr>
            <w:r>
              <w:rPr>
                <w:rFonts w:hint="eastAsia"/>
                <w:b/>
              </w:rPr>
              <w:t>新建护岸（km）</w:t>
            </w:r>
          </w:p>
        </w:tc>
        <w:tc>
          <w:tcPr>
            <w:tcW w:w="706" w:type="pct"/>
            <w:vAlign w:val="center"/>
          </w:tcPr>
          <w:p w14:paraId="4F16CA1C">
            <w:pPr>
              <w:pStyle w:val="131"/>
              <w:rPr>
                <w:b/>
              </w:rPr>
            </w:pPr>
            <w:r>
              <w:rPr>
                <w:rFonts w:hint="eastAsia"/>
                <w:b/>
              </w:rPr>
              <w:t>新建防洪墙（km）</w:t>
            </w:r>
          </w:p>
        </w:tc>
        <w:tc>
          <w:tcPr>
            <w:tcW w:w="619" w:type="pct"/>
            <w:vAlign w:val="center"/>
          </w:tcPr>
          <w:p w14:paraId="383CE819">
            <w:pPr>
              <w:pStyle w:val="131"/>
              <w:rPr>
                <w:b/>
              </w:rPr>
            </w:pPr>
            <w:r>
              <w:rPr>
                <w:rFonts w:hint="eastAsia"/>
                <w:b/>
              </w:rPr>
              <w:t>加固堤防（km）</w:t>
            </w:r>
          </w:p>
        </w:tc>
      </w:tr>
      <w:tr w14:paraId="397F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85" w:type="pct"/>
            <w:vAlign w:val="center"/>
          </w:tcPr>
          <w:p w14:paraId="2DA3E77F">
            <w:pPr>
              <w:pStyle w:val="131"/>
            </w:pPr>
            <w:r>
              <w:rPr>
                <w:rFonts w:hint="eastAsia"/>
              </w:rPr>
              <w:t>1</w:t>
            </w:r>
          </w:p>
        </w:tc>
        <w:tc>
          <w:tcPr>
            <w:tcW w:w="495" w:type="pct"/>
            <w:vAlign w:val="center"/>
          </w:tcPr>
          <w:p w14:paraId="05F48FE4">
            <w:pPr>
              <w:pStyle w:val="131"/>
            </w:pPr>
            <w:r>
              <w:rPr>
                <w:rFonts w:hint="eastAsia"/>
              </w:rPr>
              <w:t>巴尔扎贯郭勒</w:t>
            </w:r>
          </w:p>
        </w:tc>
        <w:tc>
          <w:tcPr>
            <w:tcW w:w="625" w:type="pct"/>
            <w:vAlign w:val="center"/>
          </w:tcPr>
          <w:p w14:paraId="5E5C4E11">
            <w:pPr>
              <w:pStyle w:val="131"/>
            </w:pPr>
            <w:r>
              <w:rPr>
                <w:rFonts w:hint="eastAsia"/>
              </w:rPr>
              <w:t>2</w:t>
            </w:r>
          </w:p>
        </w:tc>
        <w:tc>
          <w:tcPr>
            <w:tcW w:w="939" w:type="pct"/>
            <w:vAlign w:val="center"/>
          </w:tcPr>
          <w:p w14:paraId="4E16B18A">
            <w:pPr>
              <w:pStyle w:val="131"/>
            </w:pPr>
            <w:r>
              <w:rPr>
                <w:rFonts w:hint="eastAsia"/>
              </w:rPr>
              <w:t>三河农牧场一队段</w:t>
            </w:r>
          </w:p>
        </w:tc>
        <w:tc>
          <w:tcPr>
            <w:tcW w:w="705" w:type="pct"/>
            <w:vAlign w:val="center"/>
          </w:tcPr>
          <w:p w14:paraId="65028BD2">
            <w:pPr>
              <w:pStyle w:val="131"/>
            </w:pPr>
            <w:r>
              <w:rPr>
                <w:rFonts w:hint="eastAsia"/>
              </w:rPr>
              <w:t>2.</w:t>
            </w:r>
            <w:r>
              <w:t>517</w:t>
            </w:r>
          </w:p>
        </w:tc>
        <w:tc>
          <w:tcPr>
            <w:tcW w:w="626" w:type="pct"/>
            <w:vAlign w:val="center"/>
          </w:tcPr>
          <w:p w14:paraId="4DDD6716">
            <w:pPr>
              <w:pStyle w:val="131"/>
            </w:pPr>
            <w:r>
              <w:rPr>
                <w:rFonts w:hint="eastAsia"/>
              </w:rPr>
              <w:t>/</w:t>
            </w:r>
          </w:p>
        </w:tc>
        <w:tc>
          <w:tcPr>
            <w:tcW w:w="706" w:type="pct"/>
            <w:vAlign w:val="center"/>
          </w:tcPr>
          <w:p w14:paraId="06E6247A">
            <w:pPr>
              <w:pStyle w:val="131"/>
            </w:pPr>
            <w:r>
              <w:rPr>
                <w:rFonts w:hint="eastAsia"/>
              </w:rPr>
              <w:t>/</w:t>
            </w:r>
          </w:p>
        </w:tc>
        <w:tc>
          <w:tcPr>
            <w:tcW w:w="619" w:type="pct"/>
            <w:vAlign w:val="center"/>
          </w:tcPr>
          <w:p w14:paraId="55CDFEEE">
            <w:pPr>
              <w:pStyle w:val="131"/>
            </w:pPr>
            <w:r>
              <w:rPr>
                <w:rFonts w:hint="eastAsia"/>
              </w:rPr>
              <w:t>/</w:t>
            </w:r>
          </w:p>
        </w:tc>
      </w:tr>
      <w:tr w14:paraId="0460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85" w:type="pct"/>
            <w:vMerge w:val="restart"/>
            <w:vAlign w:val="center"/>
          </w:tcPr>
          <w:p w14:paraId="408601DE">
            <w:pPr>
              <w:pStyle w:val="131"/>
            </w:pPr>
            <w:r>
              <w:rPr>
                <w:rFonts w:hint="eastAsia"/>
              </w:rPr>
              <w:t>2</w:t>
            </w:r>
          </w:p>
        </w:tc>
        <w:tc>
          <w:tcPr>
            <w:tcW w:w="495" w:type="pct"/>
            <w:vMerge w:val="restart"/>
            <w:vAlign w:val="center"/>
          </w:tcPr>
          <w:p w14:paraId="3A89EB64">
            <w:pPr>
              <w:pStyle w:val="131"/>
            </w:pPr>
            <w:r>
              <w:rPr>
                <w:rFonts w:hint="eastAsia"/>
              </w:rPr>
              <w:t>哈乌鲁河</w:t>
            </w:r>
          </w:p>
        </w:tc>
        <w:tc>
          <w:tcPr>
            <w:tcW w:w="625" w:type="pct"/>
            <w:vMerge w:val="restart"/>
            <w:vAlign w:val="center"/>
          </w:tcPr>
          <w:p w14:paraId="77356659">
            <w:pPr>
              <w:pStyle w:val="131"/>
            </w:pPr>
            <w:r>
              <w:t>3.63</w:t>
            </w:r>
          </w:p>
        </w:tc>
        <w:tc>
          <w:tcPr>
            <w:tcW w:w="939" w:type="pct"/>
            <w:vAlign w:val="center"/>
          </w:tcPr>
          <w:p w14:paraId="5073B13C">
            <w:pPr>
              <w:pStyle w:val="131"/>
            </w:pPr>
            <w:r>
              <w:rPr>
                <w:rFonts w:hint="eastAsia"/>
              </w:rPr>
              <w:t>恩和乡段</w:t>
            </w:r>
          </w:p>
        </w:tc>
        <w:tc>
          <w:tcPr>
            <w:tcW w:w="705" w:type="pct"/>
            <w:vAlign w:val="center"/>
          </w:tcPr>
          <w:p w14:paraId="7485F6B8">
            <w:pPr>
              <w:pStyle w:val="131"/>
            </w:pPr>
            <w:r>
              <w:rPr>
                <w:rFonts w:hint="eastAsia"/>
              </w:rPr>
              <w:t>1.5</w:t>
            </w:r>
          </w:p>
        </w:tc>
        <w:tc>
          <w:tcPr>
            <w:tcW w:w="626" w:type="pct"/>
            <w:vAlign w:val="center"/>
          </w:tcPr>
          <w:p w14:paraId="7B77D95E">
            <w:pPr>
              <w:pStyle w:val="131"/>
            </w:pPr>
            <w:r>
              <w:rPr>
                <w:rFonts w:hint="eastAsia"/>
              </w:rPr>
              <w:t>/</w:t>
            </w:r>
          </w:p>
        </w:tc>
        <w:tc>
          <w:tcPr>
            <w:tcW w:w="706" w:type="pct"/>
            <w:vAlign w:val="center"/>
          </w:tcPr>
          <w:p w14:paraId="306EA863">
            <w:pPr>
              <w:pStyle w:val="131"/>
            </w:pPr>
            <w:r>
              <w:rPr>
                <w:rFonts w:hint="eastAsia"/>
              </w:rPr>
              <w:t>/</w:t>
            </w:r>
          </w:p>
        </w:tc>
        <w:tc>
          <w:tcPr>
            <w:tcW w:w="619" w:type="pct"/>
            <w:vAlign w:val="center"/>
          </w:tcPr>
          <w:p w14:paraId="0242158F">
            <w:pPr>
              <w:pStyle w:val="131"/>
            </w:pPr>
            <w:r>
              <w:rPr>
                <w:rFonts w:hint="eastAsia"/>
              </w:rPr>
              <w:t>/</w:t>
            </w:r>
          </w:p>
        </w:tc>
      </w:tr>
      <w:tr w14:paraId="3DA0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85" w:type="pct"/>
            <w:vMerge w:val="continue"/>
            <w:vAlign w:val="center"/>
          </w:tcPr>
          <w:p w14:paraId="2D68B805">
            <w:pPr>
              <w:pStyle w:val="131"/>
            </w:pPr>
          </w:p>
        </w:tc>
        <w:tc>
          <w:tcPr>
            <w:tcW w:w="495" w:type="pct"/>
            <w:vMerge w:val="continue"/>
            <w:vAlign w:val="center"/>
          </w:tcPr>
          <w:p w14:paraId="3EB4660D">
            <w:pPr>
              <w:pStyle w:val="131"/>
            </w:pPr>
          </w:p>
        </w:tc>
        <w:tc>
          <w:tcPr>
            <w:tcW w:w="625" w:type="pct"/>
            <w:vMerge w:val="continue"/>
            <w:vAlign w:val="center"/>
          </w:tcPr>
          <w:p w14:paraId="2519BA97">
            <w:pPr>
              <w:pStyle w:val="131"/>
            </w:pPr>
          </w:p>
        </w:tc>
        <w:tc>
          <w:tcPr>
            <w:tcW w:w="939" w:type="pct"/>
            <w:vAlign w:val="center"/>
          </w:tcPr>
          <w:p w14:paraId="738E2AF6">
            <w:pPr>
              <w:pStyle w:val="131"/>
            </w:pPr>
            <w:r>
              <w:rPr>
                <w:rFonts w:hint="eastAsia"/>
              </w:rPr>
              <w:t>朝阳村段</w:t>
            </w:r>
          </w:p>
        </w:tc>
        <w:tc>
          <w:tcPr>
            <w:tcW w:w="705" w:type="pct"/>
            <w:vAlign w:val="center"/>
          </w:tcPr>
          <w:p w14:paraId="088DE1D4">
            <w:pPr>
              <w:pStyle w:val="131"/>
            </w:pPr>
            <w:r>
              <w:rPr>
                <w:rFonts w:hint="eastAsia"/>
              </w:rPr>
              <w:t>0.6</w:t>
            </w:r>
          </w:p>
        </w:tc>
        <w:tc>
          <w:tcPr>
            <w:tcW w:w="626" w:type="pct"/>
            <w:vAlign w:val="center"/>
          </w:tcPr>
          <w:p w14:paraId="0105DA1E">
            <w:pPr>
              <w:pStyle w:val="131"/>
            </w:pPr>
            <w:r>
              <w:rPr>
                <w:rFonts w:hint="eastAsia"/>
              </w:rPr>
              <w:t>/</w:t>
            </w:r>
          </w:p>
        </w:tc>
        <w:tc>
          <w:tcPr>
            <w:tcW w:w="706" w:type="pct"/>
            <w:vAlign w:val="center"/>
          </w:tcPr>
          <w:p w14:paraId="5BC11BC9">
            <w:pPr>
              <w:pStyle w:val="131"/>
            </w:pPr>
            <w:r>
              <w:rPr>
                <w:rFonts w:hint="eastAsia"/>
              </w:rPr>
              <w:t>/</w:t>
            </w:r>
          </w:p>
        </w:tc>
        <w:tc>
          <w:tcPr>
            <w:tcW w:w="619" w:type="pct"/>
            <w:vAlign w:val="center"/>
          </w:tcPr>
          <w:p w14:paraId="3F7FFA40">
            <w:pPr>
              <w:pStyle w:val="131"/>
            </w:pPr>
            <w:r>
              <w:rPr>
                <w:rFonts w:hint="eastAsia"/>
              </w:rPr>
              <w:t>/</w:t>
            </w:r>
          </w:p>
        </w:tc>
      </w:tr>
      <w:tr w14:paraId="61E4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85" w:type="pct"/>
            <w:vMerge w:val="continue"/>
            <w:vAlign w:val="center"/>
          </w:tcPr>
          <w:p w14:paraId="445672F2">
            <w:pPr>
              <w:pStyle w:val="131"/>
            </w:pPr>
          </w:p>
        </w:tc>
        <w:tc>
          <w:tcPr>
            <w:tcW w:w="495" w:type="pct"/>
            <w:vMerge w:val="continue"/>
            <w:vAlign w:val="center"/>
          </w:tcPr>
          <w:p w14:paraId="62D5C61E">
            <w:pPr>
              <w:pStyle w:val="131"/>
            </w:pPr>
          </w:p>
        </w:tc>
        <w:tc>
          <w:tcPr>
            <w:tcW w:w="625" w:type="pct"/>
            <w:vMerge w:val="continue"/>
            <w:vAlign w:val="center"/>
          </w:tcPr>
          <w:p w14:paraId="02A830F5">
            <w:pPr>
              <w:pStyle w:val="131"/>
            </w:pPr>
          </w:p>
        </w:tc>
        <w:tc>
          <w:tcPr>
            <w:tcW w:w="939" w:type="pct"/>
            <w:vAlign w:val="center"/>
          </w:tcPr>
          <w:p w14:paraId="0F4DFD58">
            <w:pPr>
              <w:pStyle w:val="131"/>
            </w:pPr>
            <w:r>
              <w:rPr>
                <w:rFonts w:hint="eastAsia"/>
              </w:rPr>
              <w:t>永胜村段</w:t>
            </w:r>
          </w:p>
        </w:tc>
        <w:tc>
          <w:tcPr>
            <w:tcW w:w="705" w:type="pct"/>
            <w:vAlign w:val="center"/>
          </w:tcPr>
          <w:p w14:paraId="5D0EBB3F">
            <w:pPr>
              <w:pStyle w:val="131"/>
            </w:pPr>
            <w:r>
              <w:rPr>
                <w:rFonts w:hint="eastAsia"/>
              </w:rPr>
              <w:t>1.53</w:t>
            </w:r>
          </w:p>
        </w:tc>
        <w:tc>
          <w:tcPr>
            <w:tcW w:w="626" w:type="pct"/>
            <w:vAlign w:val="center"/>
          </w:tcPr>
          <w:p w14:paraId="6F7E0FA5">
            <w:pPr>
              <w:pStyle w:val="131"/>
            </w:pPr>
            <w:r>
              <w:rPr>
                <w:rFonts w:hint="eastAsia"/>
              </w:rPr>
              <w:t>/</w:t>
            </w:r>
          </w:p>
        </w:tc>
        <w:tc>
          <w:tcPr>
            <w:tcW w:w="706" w:type="pct"/>
            <w:vAlign w:val="center"/>
          </w:tcPr>
          <w:p w14:paraId="30A07594">
            <w:pPr>
              <w:pStyle w:val="131"/>
            </w:pPr>
            <w:r>
              <w:rPr>
                <w:rFonts w:hint="eastAsia"/>
              </w:rPr>
              <w:t>/</w:t>
            </w:r>
          </w:p>
        </w:tc>
        <w:tc>
          <w:tcPr>
            <w:tcW w:w="619" w:type="pct"/>
            <w:vAlign w:val="center"/>
          </w:tcPr>
          <w:p w14:paraId="23D9FFA8">
            <w:pPr>
              <w:pStyle w:val="131"/>
            </w:pPr>
            <w:r>
              <w:rPr>
                <w:rFonts w:hint="eastAsia"/>
              </w:rPr>
              <w:t>/</w:t>
            </w:r>
          </w:p>
        </w:tc>
      </w:tr>
      <w:tr w14:paraId="2909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285" w:type="pct"/>
            <w:vAlign w:val="center"/>
          </w:tcPr>
          <w:p w14:paraId="31F85E3B">
            <w:pPr>
              <w:pStyle w:val="131"/>
            </w:pPr>
            <w:r>
              <w:rPr>
                <w:rFonts w:hint="eastAsia"/>
              </w:rPr>
              <w:t>3</w:t>
            </w:r>
          </w:p>
        </w:tc>
        <w:tc>
          <w:tcPr>
            <w:tcW w:w="495" w:type="pct"/>
            <w:vAlign w:val="center"/>
          </w:tcPr>
          <w:p w14:paraId="132C0B6D">
            <w:pPr>
              <w:pStyle w:val="131"/>
            </w:pPr>
            <w:r>
              <w:rPr>
                <w:rFonts w:hint="eastAsia"/>
              </w:rPr>
              <w:t>太平镇河</w:t>
            </w:r>
          </w:p>
        </w:tc>
        <w:tc>
          <w:tcPr>
            <w:tcW w:w="625" w:type="pct"/>
            <w:vAlign w:val="center"/>
          </w:tcPr>
          <w:p w14:paraId="54D7229D">
            <w:pPr>
              <w:pStyle w:val="131"/>
            </w:pPr>
            <w:r>
              <w:t>1.15</w:t>
            </w:r>
          </w:p>
        </w:tc>
        <w:tc>
          <w:tcPr>
            <w:tcW w:w="939" w:type="pct"/>
            <w:vAlign w:val="center"/>
          </w:tcPr>
          <w:p w14:paraId="34818056">
            <w:pPr>
              <w:pStyle w:val="131"/>
            </w:pPr>
            <w:r>
              <w:rPr>
                <w:rFonts w:hint="eastAsia"/>
              </w:rPr>
              <w:t>太平镇段</w:t>
            </w:r>
          </w:p>
        </w:tc>
        <w:tc>
          <w:tcPr>
            <w:tcW w:w="705" w:type="pct"/>
            <w:vAlign w:val="center"/>
          </w:tcPr>
          <w:p w14:paraId="014518E1">
            <w:pPr>
              <w:pStyle w:val="131"/>
            </w:pPr>
            <w:r>
              <w:t>2.454</w:t>
            </w:r>
          </w:p>
        </w:tc>
        <w:tc>
          <w:tcPr>
            <w:tcW w:w="626" w:type="pct"/>
            <w:vAlign w:val="center"/>
          </w:tcPr>
          <w:p w14:paraId="6B51385A">
            <w:pPr>
              <w:pStyle w:val="131"/>
            </w:pPr>
            <w:r>
              <w:rPr>
                <w:rFonts w:hint="eastAsia"/>
              </w:rPr>
              <w:t>/</w:t>
            </w:r>
          </w:p>
        </w:tc>
        <w:tc>
          <w:tcPr>
            <w:tcW w:w="706" w:type="pct"/>
            <w:vAlign w:val="center"/>
          </w:tcPr>
          <w:p w14:paraId="3F8189BC">
            <w:pPr>
              <w:pStyle w:val="131"/>
            </w:pPr>
            <w:r>
              <w:rPr>
                <w:rFonts w:hint="eastAsia"/>
              </w:rPr>
              <w:t>/</w:t>
            </w:r>
          </w:p>
        </w:tc>
        <w:tc>
          <w:tcPr>
            <w:tcW w:w="619" w:type="pct"/>
            <w:vAlign w:val="center"/>
          </w:tcPr>
          <w:p w14:paraId="36BC7434">
            <w:pPr>
              <w:pStyle w:val="131"/>
            </w:pPr>
            <w:r>
              <w:rPr>
                <w:rFonts w:hint="eastAsia"/>
              </w:rPr>
              <w:t>/</w:t>
            </w:r>
          </w:p>
        </w:tc>
      </w:tr>
      <w:tr w14:paraId="45C0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85" w:type="pct"/>
            <w:vAlign w:val="center"/>
          </w:tcPr>
          <w:p w14:paraId="55095034">
            <w:pPr>
              <w:pStyle w:val="131"/>
            </w:pPr>
            <w:r>
              <w:rPr>
                <w:rFonts w:hint="eastAsia"/>
              </w:rPr>
              <w:t>4</w:t>
            </w:r>
          </w:p>
        </w:tc>
        <w:tc>
          <w:tcPr>
            <w:tcW w:w="495" w:type="pct"/>
            <w:vAlign w:val="center"/>
          </w:tcPr>
          <w:p w14:paraId="544A959F">
            <w:pPr>
              <w:pStyle w:val="131"/>
            </w:pPr>
            <w:r>
              <w:rPr>
                <w:rFonts w:hint="eastAsia"/>
              </w:rPr>
              <w:t>依根河</w:t>
            </w:r>
          </w:p>
        </w:tc>
        <w:tc>
          <w:tcPr>
            <w:tcW w:w="625" w:type="pct"/>
            <w:vAlign w:val="center"/>
          </w:tcPr>
          <w:p w14:paraId="38159059">
            <w:pPr>
              <w:pStyle w:val="131"/>
            </w:pPr>
            <w:r>
              <w:rPr>
                <w:rFonts w:hint="eastAsia"/>
              </w:rPr>
              <w:t>1.5</w:t>
            </w:r>
          </w:p>
        </w:tc>
        <w:tc>
          <w:tcPr>
            <w:tcW w:w="939" w:type="pct"/>
            <w:vAlign w:val="center"/>
          </w:tcPr>
          <w:p w14:paraId="12EE0D3D">
            <w:pPr>
              <w:pStyle w:val="131"/>
            </w:pPr>
            <w:r>
              <w:rPr>
                <w:rFonts w:hint="eastAsia"/>
              </w:rPr>
              <w:t>上库力办事处依根队段</w:t>
            </w:r>
          </w:p>
        </w:tc>
        <w:tc>
          <w:tcPr>
            <w:tcW w:w="705" w:type="pct"/>
            <w:vAlign w:val="center"/>
          </w:tcPr>
          <w:p w14:paraId="76090B6D">
            <w:pPr>
              <w:pStyle w:val="131"/>
            </w:pPr>
            <w:r>
              <w:rPr>
                <w:rFonts w:hint="eastAsia"/>
              </w:rPr>
              <w:t>/</w:t>
            </w:r>
          </w:p>
        </w:tc>
        <w:tc>
          <w:tcPr>
            <w:tcW w:w="626" w:type="pct"/>
            <w:vAlign w:val="center"/>
          </w:tcPr>
          <w:p w14:paraId="5FE5ECCE">
            <w:pPr>
              <w:pStyle w:val="131"/>
            </w:pPr>
            <w:r>
              <w:rPr>
                <w:rFonts w:hint="eastAsia"/>
              </w:rPr>
              <w:t>1.38</w:t>
            </w:r>
          </w:p>
        </w:tc>
        <w:tc>
          <w:tcPr>
            <w:tcW w:w="706" w:type="pct"/>
            <w:vAlign w:val="center"/>
          </w:tcPr>
          <w:p w14:paraId="4704F2FA">
            <w:pPr>
              <w:pStyle w:val="131"/>
            </w:pPr>
            <w:r>
              <w:rPr>
                <w:rFonts w:hint="eastAsia"/>
              </w:rPr>
              <w:t>/</w:t>
            </w:r>
          </w:p>
        </w:tc>
        <w:tc>
          <w:tcPr>
            <w:tcW w:w="619" w:type="pct"/>
            <w:vAlign w:val="center"/>
          </w:tcPr>
          <w:p w14:paraId="6ECF7FDE">
            <w:pPr>
              <w:pStyle w:val="131"/>
            </w:pPr>
            <w:r>
              <w:rPr>
                <w:rFonts w:hint="eastAsia"/>
              </w:rPr>
              <w:t>/</w:t>
            </w:r>
          </w:p>
        </w:tc>
      </w:tr>
      <w:tr w14:paraId="6E3E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Merge w:val="restart"/>
            <w:vAlign w:val="center"/>
          </w:tcPr>
          <w:p w14:paraId="2C296907">
            <w:pPr>
              <w:pStyle w:val="131"/>
            </w:pPr>
            <w:r>
              <w:rPr>
                <w:rFonts w:hint="eastAsia"/>
              </w:rPr>
              <w:t>5</w:t>
            </w:r>
          </w:p>
        </w:tc>
        <w:tc>
          <w:tcPr>
            <w:tcW w:w="495" w:type="pct"/>
            <w:vMerge w:val="restart"/>
            <w:vAlign w:val="center"/>
          </w:tcPr>
          <w:p w14:paraId="13292841">
            <w:pPr>
              <w:pStyle w:val="131"/>
            </w:pPr>
            <w:r>
              <w:rPr>
                <w:rFonts w:hint="eastAsia"/>
              </w:rPr>
              <w:t>那尔莫格其沟</w:t>
            </w:r>
          </w:p>
        </w:tc>
        <w:tc>
          <w:tcPr>
            <w:tcW w:w="625" w:type="pct"/>
            <w:vMerge w:val="restart"/>
            <w:vAlign w:val="center"/>
          </w:tcPr>
          <w:p w14:paraId="6BA2F72C">
            <w:pPr>
              <w:pStyle w:val="131"/>
            </w:pPr>
            <w:r>
              <w:rPr>
                <w:rFonts w:hint="eastAsia"/>
              </w:rPr>
              <w:t>8.7</w:t>
            </w:r>
          </w:p>
        </w:tc>
        <w:tc>
          <w:tcPr>
            <w:tcW w:w="939" w:type="pct"/>
            <w:vAlign w:val="center"/>
          </w:tcPr>
          <w:p w14:paraId="1B655684">
            <w:pPr>
              <w:pStyle w:val="131"/>
            </w:pPr>
            <w:r>
              <w:rPr>
                <w:rFonts w:hint="eastAsia"/>
              </w:rPr>
              <w:t>奶牛场养殖点段</w:t>
            </w:r>
          </w:p>
        </w:tc>
        <w:tc>
          <w:tcPr>
            <w:tcW w:w="705" w:type="pct"/>
            <w:vAlign w:val="center"/>
          </w:tcPr>
          <w:p w14:paraId="21C82E48">
            <w:pPr>
              <w:pStyle w:val="131"/>
            </w:pPr>
            <w:r>
              <w:rPr>
                <w:rFonts w:hint="eastAsia"/>
              </w:rPr>
              <w:t>1.33</w:t>
            </w:r>
          </w:p>
        </w:tc>
        <w:tc>
          <w:tcPr>
            <w:tcW w:w="626" w:type="pct"/>
            <w:vAlign w:val="center"/>
          </w:tcPr>
          <w:p w14:paraId="300001D0">
            <w:pPr>
              <w:pStyle w:val="131"/>
            </w:pPr>
            <w:r>
              <w:rPr>
                <w:rFonts w:hint="eastAsia"/>
              </w:rPr>
              <w:t>/</w:t>
            </w:r>
          </w:p>
        </w:tc>
        <w:tc>
          <w:tcPr>
            <w:tcW w:w="706" w:type="pct"/>
            <w:vAlign w:val="center"/>
          </w:tcPr>
          <w:p w14:paraId="68A45184">
            <w:pPr>
              <w:pStyle w:val="131"/>
            </w:pPr>
            <w:r>
              <w:rPr>
                <w:rFonts w:hint="eastAsia"/>
              </w:rPr>
              <w:t>/</w:t>
            </w:r>
          </w:p>
        </w:tc>
        <w:tc>
          <w:tcPr>
            <w:tcW w:w="619" w:type="pct"/>
            <w:vAlign w:val="center"/>
          </w:tcPr>
          <w:p w14:paraId="6BD355C0">
            <w:pPr>
              <w:pStyle w:val="131"/>
            </w:pPr>
            <w:r>
              <w:rPr>
                <w:rFonts w:hint="eastAsia"/>
              </w:rPr>
              <w:t>/</w:t>
            </w:r>
          </w:p>
        </w:tc>
      </w:tr>
      <w:tr w14:paraId="074B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Merge w:val="continue"/>
            <w:vAlign w:val="center"/>
          </w:tcPr>
          <w:p w14:paraId="76C47699">
            <w:pPr>
              <w:pStyle w:val="131"/>
            </w:pPr>
          </w:p>
        </w:tc>
        <w:tc>
          <w:tcPr>
            <w:tcW w:w="495" w:type="pct"/>
            <w:vMerge w:val="continue"/>
            <w:vAlign w:val="center"/>
          </w:tcPr>
          <w:p w14:paraId="2D3BFA56">
            <w:pPr>
              <w:pStyle w:val="131"/>
            </w:pPr>
          </w:p>
        </w:tc>
        <w:tc>
          <w:tcPr>
            <w:tcW w:w="625" w:type="pct"/>
            <w:vMerge w:val="continue"/>
            <w:vAlign w:val="center"/>
          </w:tcPr>
          <w:p w14:paraId="7D81958C">
            <w:pPr>
              <w:pStyle w:val="131"/>
            </w:pPr>
          </w:p>
        </w:tc>
        <w:tc>
          <w:tcPr>
            <w:tcW w:w="939" w:type="pct"/>
            <w:vAlign w:val="center"/>
          </w:tcPr>
          <w:p w14:paraId="5B09E766">
            <w:pPr>
              <w:pStyle w:val="131"/>
            </w:pPr>
            <w:r>
              <w:rPr>
                <w:rFonts w:hint="eastAsia"/>
              </w:rPr>
              <w:t>葫芦头屯段</w:t>
            </w:r>
          </w:p>
        </w:tc>
        <w:tc>
          <w:tcPr>
            <w:tcW w:w="705" w:type="pct"/>
            <w:vAlign w:val="center"/>
          </w:tcPr>
          <w:p w14:paraId="3FF91154">
            <w:pPr>
              <w:pStyle w:val="131"/>
            </w:pPr>
            <w:r>
              <w:rPr>
                <w:rFonts w:hint="eastAsia"/>
              </w:rPr>
              <w:t>0.92</w:t>
            </w:r>
          </w:p>
        </w:tc>
        <w:tc>
          <w:tcPr>
            <w:tcW w:w="626" w:type="pct"/>
            <w:vAlign w:val="center"/>
          </w:tcPr>
          <w:p w14:paraId="56A30471">
            <w:pPr>
              <w:pStyle w:val="131"/>
            </w:pPr>
            <w:r>
              <w:rPr>
                <w:rFonts w:hint="eastAsia"/>
              </w:rPr>
              <w:t>/</w:t>
            </w:r>
          </w:p>
        </w:tc>
        <w:tc>
          <w:tcPr>
            <w:tcW w:w="706" w:type="pct"/>
            <w:vAlign w:val="center"/>
          </w:tcPr>
          <w:p w14:paraId="0F5FFC0B">
            <w:pPr>
              <w:pStyle w:val="131"/>
            </w:pPr>
            <w:r>
              <w:rPr>
                <w:rFonts w:hint="eastAsia"/>
              </w:rPr>
              <w:t>/</w:t>
            </w:r>
          </w:p>
        </w:tc>
        <w:tc>
          <w:tcPr>
            <w:tcW w:w="619" w:type="pct"/>
            <w:vAlign w:val="center"/>
          </w:tcPr>
          <w:p w14:paraId="55420B8E">
            <w:pPr>
              <w:pStyle w:val="131"/>
            </w:pPr>
            <w:r>
              <w:rPr>
                <w:rFonts w:hint="eastAsia"/>
              </w:rPr>
              <w:t>/</w:t>
            </w:r>
          </w:p>
        </w:tc>
      </w:tr>
      <w:tr w14:paraId="02164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Merge w:val="continue"/>
            <w:vAlign w:val="center"/>
          </w:tcPr>
          <w:p w14:paraId="06CA7725">
            <w:pPr>
              <w:pStyle w:val="131"/>
            </w:pPr>
          </w:p>
        </w:tc>
        <w:tc>
          <w:tcPr>
            <w:tcW w:w="495" w:type="pct"/>
            <w:vMerge w:val="continue"/>
            <w:vAlign w:val="center"/>
          </w:tcPr>
          <w:p w14:paraId="7709FF72">
            <w:pPr>
              <w:pStyle w:val="131"/>
            </w:pPr>
          </w:p>
        </w:tc>
        <w:tc>
          <w:tcPr>
            <w:tcW w:w="625" w:type="pct"/>
            <w:vMerge w:val="continue"/>
            <w:vAlign w:val="center"/>
          </w:tcPr>
          <w:p w14:paraId="4062B98B">
            <w:pPr>
              <w:pStyle w:val="131"/>
            </w:pPr>
          </w:p>
        </w:tc>
        <w:tc>
          <w:tcPr>
            <w:tcW w:w="939" w:type="pct"/>
            <w:vAlign w:val="center"/>
          </w:tcPr>
          <w:p w14:paraId="5F9B1D06">
            <w:pPr>
              <w:pStyle w:val="131"/>
            </w:pPr>
            <w:r>
              <w:rPr>
                <w:rFonts w:hint="eastAsia"/>
              </w:rPr>
              <w:t>工业区段</w:t>
            </w:r>
          </w:p>
        </w:tc>
        <w:tc>
          <w:tcPr>
            <w:tcW w:w="705" w:type="pct"/>
            <w:vAlign w:val="center"/>
          </w:tcPr>
          <w:p w14:paraId="4CD603FE">
            <w:pPr>
              <w:pStyle w:val="131"/>
            </w:pPr>
            <w:r>
              <w:rPr>
                <w:rFonts w:hint="eastAsia"/>
              </w:rPr>
              <w:t>2.17</w:t>
            </w:r>
          </w:p>
        </w:tc>
        <w:tc>
          <w:tcPr>
            <w:tcW w:w="626" w:type="pct"/>
            <w:vAlign w:val="center"/>
          </w:tcPr>
          <w:p w14:paraId="544A3D1F">
            <w:pPr>
              <w:pStyle w:val="131"/>
            </w:pPr>
            <w:r>
              <w:rPr>
                <w:rFonts w:hint="eastAsia"/>
              </w:rPr>
              <w:t>/</w:t>
            </w:r>
          </w:p>
        </w:tc>
        <w:tc>
          <w:tcPr>
            <w:tcW w:w="706" w:type="pct"/>
            <w:vAlign w:val="center"/>
          </w:tcPr>
          <w:p w14:paraId="69D0E60F">
            <w:pPr>
              <w:pStyle w:val="131"/>
            </w:pPr>
            <w:r>
              <w:rPr>
                <w:rFonts w:hint="eastAsia"/>
              </w:rPr>
              <w:t>/</w:t>
            </w:r>
          </w:p>
        </w:tc>
        <w:tc>
          <w:tcPr>
            <w:tcW w:w="619" w:type="pct"/>
            <w:vAlign w:val="center"/>
          </w:tcPr>
          <w:p w14:paraId="1203D8D0">
            <w:pPr>
              <w:pStyle w:val="131"/>
            </w:pPr>
            <w:r>
              <w:rPr>
                <w:rFonts w:hint="eastAsia"/>
              </w:rPr>
              <w:t>/</w:t>
            </w:r>
          </w:p>
        </w:tc>
      </w:tr>
      <w:tr w14:paraId="7D78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Merge w:val="continue"/>
            <w:vAlign w:val="center"/>
          </w:tcPr>
          <w:p w14:paraId="3003A662">
            <w:pPr>
              <w:pStyle w:val="131"/>
            </w:pPr>
          </w:p>
        </w:tc>
        <w:tc>
          <w:tcPr>
            <w:tcW w:w="495" w:type="pct"/>
            <w:vMerge w:val="continue"/>
            <w:vAlign w:val="center"/>
          </w:tcPr>
          <w:p w14:paraId="347C9F84">
            <w:pPr>
              <w:pStyle w:val="131"/>
            </w:pPr>
          </w:p>
        </w:tc>
        <w:tc>
          <w:tcPr>
            <w:tcW w:w="625" w:type="pct"/>
            <w:vMerge w:val="continue"/>
            <w:vAlign w:val="center"/>
          </w:tcPr>
          <w:p w14:paraId="2B28D641">
            <w:pPr>
              <w:pStyle w:val="131"/>
            </w:pPr>
          </w:p>
        </w:tc>
        <w:tc>
          <w:tcPr>
            <w:tcW w:w="939" w:type="pct"/>
            <w:vAlign w:val="center"/>
          </w:tcPr>
          <w:p w14:paraId="5F56733E">
            <w:pPr>
              <w:pStyle w:val="131"/>
            </w:pPr>
            <w:r>
              <w:rPr>
                <w:rFonts w:hint="eastAsia"/>
              </w:rPr>
              <w:t>城区段</w:t>
            </w:r>
          </w:p>
        </w:tc>
        <w:tc>
          <w:tcPr>
            <w:tcW w:w="705" w:type="pct"/>
            <w:vAlign w:val="center"/>
          </w:tcPr>
          <w:p w14:paraId="0DFB26E4">
            <w:pPr>
              <w:pStyle w:val="131"/>
            </w:pPr>
            <w:r>
              <w:t>4</w:t>
            </w:r>
          </w:p>
        </w:tc>
        <w:tc>
          <w:tcPr>
            <w:tcW w:w="626" w:type="pct"/>
            <w:vAlign w:val="center"/>
          </w:tcPr>
          <w:p w14:paraId="6FA8A15A">
            <w:pPr>
              <w:pStyle w:val="131"/>
            </w:pPr>
            <w:r>
              <w:rPr>
                <w:rFonts w:hint="eastAsia"/>
              </w:rPr>
              <w:t>/</w:t>
            </w:r>
          </w:p>
        </w:tc>
        <w:tc>
          <w:tcPr>
            <w:tcW w:w="706" w:type="pct"/>
            <w:vAlign w:val="center"/>
          </w:tcPr>
          <w:p w14:paraId="0A9A56F4">
            <w:pPr>
              <w:pStyle w:val="131"/>
            </w:pPr>
            <w:r>
              <w:rPr>
                <w:rFonts w:hint="eastAsia"/>
              </w:rPr>
              <w:t>/</w:t>
            </w:r>
          </w:p>
        </w:tc>
        <w:tc>
          <w:tcPr>
            <w:tcW w:w="619" w:type="pct"/>
            <w:vAlign w:val="center"/>
          </w:tcPr>
          <w:p w14:paraId="4E56B945">
            <w:pPr>
              <w:pStyle w:val="131"/>
            </w:pPr>
            <w:r>
              <w:rPr>
                <w:rFonts w:hint="eastAsia"/>
              </w:rPr>
              <w:t>/</w:t>
            </w:r>
          </w:p>
        </w:tc>
      </w:tr>
      <w:tr w14:paraId="6E2BD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Merge w:val="continue"/>
            <w:vAlign w:val="center"/>
          </w:tcPr>
          <w:p w14:paraId="65AE1428">
            <w:pPr>
              <w:pStyle w:val="131"/>
            </w:pPr>
          </w:p>
        </w:tc>
        <w:tc>
          <w:tcPr>
            <w:tcW w:w="495" w:type="pct"/>
            <w:vMerge w:val="continue"/>
            <w:vAlign w:val="center"/>
          </w:tcPr>
          <w:p w14:paraId="6A0935BC">
            <w:pPr>
              <w:pStyle w:val="131"/>
            </w:pPr>
          </w:p>
        </w:tc>
        <w:tc>
          <w:tcPr>
            <w:tcW w:w="625" w:type="pct"/>
            <w:vMerge w:val="continue"/>
            <w:vAlign w:val="center"/>
          </w:tcPr>
          <w:p w14:paraId="44FA077C">
            <w:pPr>
              <w:pStyle w:val="131"/>
            </w:pPr>
          </w:p>
        </w:tc>
        <w:tc>
          <w:tcPr>
            <w:tcW w:w="939" w:type="pct"/>
            <w:vAlign w:val="center"/>
          </w:tcPr>
          <w:p w14:paraId="2E4D0E1F">
            <w:pPr>
              <w:pStyle w:val="131"/>
            </w:pPr>
            <w:r>
              <w:rPr>
                <w:rFonts w:hint="eastAsia"/>
              </w:rPr>
              <w:t>城区下游段</w:t>
            </w:r>
          </w:p>
        </w:tc>
        <w:tc>
          <w:tcPr>
            <w:tcW w:w="705" w:type="pct"/>
            <w:vAlign w:val="center"/>
          </w:tcPr>
          <w:p w14:paraId="41A39650">
            <w:pPr>
              <w:pStyle w:val="131"/>
            </w:pPr>
            <w:r>
              <w:rPr>
                <w:rFonts w:hint="eastAsia"/>
              </w:rPr>
              <w:t>/</w:t>
            </w:r>
          </w:p>
        </w:tc>
        <w:tc>
          <w:tcPr>
            <w:tcW w:w="626" w:type="pct"/>
            <w:vAlign w:val="center"/>
          </w:tcPr>
          <w:p w14:paraId="462425C2">
            <w:pPr>
              <w:pStyle w:val="131"/>
            </w:pPr>
            <w:r>
              <w:rPr>
                <w:rFonts w:hint="eastAsia"/>
              </w:rPr>
              <w:t>/</w:t>
            </w:r>
          </w:p>
        </w:tc>
        <w:tc>
          <w:tcPr>
            <w:tcW w:w="706" w:type="pct"/>
            <w:vAlign w:val="center"/>
          </w:tcPr>
          <w:p w14:paraId="0A62B90C">
            <w:pPr>
              <w:pStyle w:val="131"/>
            </w:pPr>
            <w:r>
              <w:rPr>
                <w:rFonts w:hint="eastAsia"/>
              </w:rPr>
              <w:t>2.</w:t>
            </w:r>
            <w:r>
              <w:t>632</w:t>
            </w:r>
          </w:p>
        </w:tc>
        <w:tc>
          <w:tcPr>
            <w:tcW w:w="619" w:type="pct"/>
            <w:vAlign w:val="center"/>
          </w:tcPr>
          <w:p w14:paraId="3A3BC6D5">
            <w:pPr>
              <w:pStyle w:val="131"/>
            </w:pPr>
            <w:r>
              <w:rPr>
                <w:rFonts w:hint="eastAsia"/>
              </w:rPr>
              <w:t>/</w:t>
            </w:r>
          </w:p>
        </w:tc>
      </w:tr>
      <w:tr w14:paraId="17E9D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Align w:val="center"/>
          </w:tcPr>
          <w:p w14:paraId="59AF5B25">
            <w:pPr>
              <w:pStyle w:val="131"/>
            </w:pPr>
            <w:r>
              <w:rPr>
                <w:rFonts w:hint="eastAsia"/>
              </w:rPr>
              <w:t>6</w:t>
            </w:r>
          </w:p>
        </w:tc>
        <w:tc>
          <w:tcPr>
            <w:tcW w:w="495" w:type="pct"/>
            <w:vAlign w:val="center"/>
          </w:tcPr>
          <w:p w14:paraId="3EF06408">
            <w:pPr>
              <w:pStyle w:val="131"/>
            </w:pPr>
            <w:r>
              <w:rPr>
                <w:rFonts w:hint="eastAsia"/>
              </w:rPr>
              <w:t>莫尔道嘎河</w:t>
            </w:r>
          </w:p>
        </w:tc>
        <w:tc>
          <w:tcPr>
            <w:tcW w:w="625" w:type="pct"/>
            <w:vAlign w:val="center"/>
          </w:tcPr>
          <w:p w14:paraId="14255D2A">
            <w:pPr>
              <w:pStyle w:val="131"/>
            </w:pPr>
            <w:r>
              <w:rPr>
                <w:rFonts w:hint="eastAsia"/>
              </w:rPr>
              <w:t>2</w:t>
            </w:r>
            <w:r>
              <w:t>.2</w:t>
            </w:r>
          </w:p>
        </w:tc>
        <w:tc>
          <w:tcPr>
            <w:tcW w:w="939" w:type="pct"/>
            <w:vAlign w:val="center"/>
          </w:tcPr>
          <w:p w14:paraId="13EF24A6">
            <w:pPr>
              <w:pStyle w:val="131"/>
            </w:pPr>
            <w:r>
              <w:rPr>
                <w:rFonts w:hint="eastAsia"/>
              </w:rPr>
              <w:t>/</w:t>
            </w:r>
          </w:p>
        </w:tc>
        <w:tc>
          <w:tcPr>
            <w:tcW w:w="705" w:type="pct"/>
            <w:vAlign w:val="center"/>
          </w:tcPr>
          <w:p w14:paraId="14B475B8">
            <w:pPr>
              <w:pStyle w:val="131"/>
            </w:pPr>
            <w:r>
              <w:rPr>
                <w:rFonts w:hint="eastAsia"/>
              </w:rPr>
              <w:t>/</w:t>
            </w:r>
          </w:p>
        </w:tc>
        <w:tc>
          <w:tcPr>
            <w:tcW w:w="626" w:type="pct"/>
            <w:vAlign w:val="center"/>
          </w:tcPr>
          <w:p w14:paraId="6ED2A5FB">
            <w:pPr>
              <w:pStyle w:val="131"/>
            </w:pPr>
            <w:r>
              <w:rPr>
                <w:rFonts w:hint="eastAsia"/>
              </w:rPr>
              <w:t>/</w:t>
            </w:r>
          </w:p>
        </w:tc>
        <w:tc>
          <w:tcPr>
            <w:tcW w:w="706" w:type="pct"/>
            <w:vAlign w:val="center"/>
          </w:tcPr>
          <w:p w14:paraId="2B8F0D9A">
            <w:pPr>
              <w:pStyle w:val="131"/>
            </w:pPr>
            <w:r>
              <w:rPr>
                <w:rFonts w:hint="eastAsia"/>
              </w:rPr>
              <w:t>/</w:t>
            </w:r>
          </w:p>
        </w:tc>
        <w:tc>
          <w:tcPr>
            <w:tcW w:w="619" w:type="pct"/>
            <w:vAlign w:val="center"/>
          </w:tcPr>
          <w:p w14:paraId="32F63AF3">
            <w:pPr>
              <w:pStyle w:val="131"/>
            </w:pPr>
            <w:r>
              <w:rPr>
                <w:rFonts w:hint="eastAsia"/>
              </w:rPr>
              <w:t>3</w:t>
            </w:r>
            <w:r>
              <w:t>.8</w:t>
            </w:r>
          </w:p>
        </w:tc>
      </w:tr>
      <w:tr w14:paraId="6ABE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85" w:type="pct"/>
            <w:vAlign w:val="center"/>
          </w:tcPr>
          <w:p w14:paraId="134E6A3B">
            <w:pPr>
              <w:pStyle w:val="131"/>
            </w:pPr>
            <w:r>
              <w:rPr>
                <w:rFonts w:hint="eastAsia"/>
              </w:rPr>
              <w:t>7</w:t>
            </w:r>
          </w:p>
        </w:tc>
        <w:tc>
          <w:tcPr>
            <w:tcW w:w="495" w:type="pct"/>
            <w:vAlign w:val="center"/>
          </w:tcPr>
          <w:p w14:paraId="43D5879C">
            <w:pPr>
              <w:pStyle w:val="131"/>
            </w:pPr>
            <w:r>
              <w:rPr>
                <w:rFonts w:hint="eastAsia"/>
              </w:rPr>
              <w:t>多博库塞河</w:t>
            </w:r>
          </w:p>
        </w:tc>
        <w:tc>
          <w:tcPr>
            <w:tcW w:w="625" w:type="pct"/>
            <w:vAlign w:val="center"/>
          </w:tcPr>
          <w:p w14:paraId="0A90368D">
            <w:pPr>
              <w:pStyle w:val="131"/>
            </w:pPr>
            <w:r>
              <w:rPr>
                <w:rFonts w:hint="eastAsia"/>
              </w:rPr>
              <w:t>0</w:t>
            </w:r>
            <w:r>
              <w:t>.5</w:t>
            </w:r>
          </w:p>
        </w:tc>
        <w:tc>
          <w:tcPr>
            <w:tcW w:w="939" w:type="pct"/>
            <w:vAlign w:val="center"/>
          </w:tcPr>
          <w:p w14:paraId="368FB010">
            <w:pPr>
              <w:pStyle w:val="131"/>
            </w:pPr>
            <w:r>
              <w:rPr>
                <w:rFonts w:hint="eastAsia"/>
              </w:rPr>
              <w:t>/</w:t>
            </w:r>
          </w:p>
        </w:tc>
        <w:tc>
          <w:tcPr>
            <w:tcW w:w="705" w:type="pct"/>
            <w:vAlign w:val="center"/>
          </w:tcPr>
          <w:p w14:paraId="0E1E60EE">
            <w:pPr>
              <w:pStyle w:val="131"/>
            </w:pPr>
            <w:r>
              <w:rPr>
                <w:rFonts w:hint="eastAsia"/>
              </w:rPr>
              <w:t>/</w:t>
            </w:r>
          </w:p>
        </w:tc>
        <w:tc>
          <w:tcPr>
            <w:tcW w:w="626" w:type="pct"/>
            <w:vAlign w:val="center"/>
          </w:tcPr>
          <w:p w14:paraId="27D7411F">
            <w:pPr>
              <w:pStyle w:val="131"/>
            </w:pPr>
            <w:r>
              <w:rPr>
                <w:rFonts w:hint="eastAsia"/>
              </w:rPr>
              <w:t>/</w:t>
            </w:r>
          </w:p>
        </w:tc>
        <w:tc>
          <w:tcPr>
            <w:tcW w:w="706" w:type="pct"/>
            <w:vAlign w:val="center"/>
          </w:tcPr>
          <w:p w14:paraId="73946A2B">
            <w:pPr>
              <w:pStyle w:val="131"/>
            </w:pPr>
            <w:r>
              <w:rPr>
                <w:rFonts w:hint="eastAsia"/>
              </w:rPr>
              <w:t>/</w:t>
            </w:r>
          </w:p>
        </w:tc>
        <w:tc>
          <w:tcPr>
            <w:tcW w:w="619" w:type="pct"/>
            <w:vAlign w:val="center"/>
          </w:tcPr>
          <w:p w14:paraId="412E8D81">
            <w:pPr>
              <w:pStyle w:val="131"/>
            </w:pPr>
            <w:r>
              <w:rPr>
                <w:rFonts w:hint="eastAsia"/>
              </w:rPr>
              <w:t>0</w:t>
            </w:r>
            <w:r>
              <w:t>.7</w:t>
            </w:r>
          </w:p>
        </w:tc>
      </w:tr>
    </w:tbl>
    <w:p w14:paraId="517DAFD0">
      <w:pPr>
        <w:pStyle w:val="64"/>
      </w:pPr>
      <w:r>
        <w:fldChar w:fldCharType="begin"/>
      </w:r>
      <w:r>
        <w:instrText xml:space="preserve"> HYPERLINK \l "_Toc123897330" </w:instrText>
      </w:r>
      <w:r>
        <w:fldChar w:fldCharType="separate"/>
      </w:r>
      <w:r>
        <w:rPr>
          <w:rFonts w:hint="eastAsia"/>
        </w:rPr>
        <w:t>3</w:t>
      </w:r>
      <w:r>
        <w:t>.</w:t>
      </w:r>
      <w:r>
        <w:rPr>
          <w:rFonts w:hint="eastAsia"/>
        </w:rPr>
        <w:t xml:space="preserve"> 山洪</w:t>
      </w:r>
      <w:r>
        <w:rPr>
          <w:rFonts w:hint="eastAsia"/>
        </w:rPr>
        <w:fldChar w:fldCharType="end"/>
      </w:r>
      <w:r>
        <w:rPr>
          <w:rFonts w:hint="eastAsia"/>
        </w:rPr>
        <w:t>灾害防治</w:t>
      </w:r>
    </w:p>
    <w:p w14:paraId="4E75FF4E">
      <w:pPr>
        <w:pStyle w:val="82"/>
        <w:ind w:firstLine="648"/>
      </w:pPr>
      <w:r>
        <w:rPr>
          <w:rFonts w:hint="eastAsia"/>
        </w:rPr>
        <w:t>山洪灾害防治措施立足于以防为主，防治结合，以暴雨强度大及春汛受灾严重，直接威胁村镇、集中居民点或重要设施安全的防治区和危险区为重点，以非工程措施为主，非工程措施与工程措施相结合，最大限度提高防御山洪灾害能力。同时，重视防春汛工作，加强防御春汛洪水，做好山洪灾害防御措施，确保安全度汛，减少山洪灾害导致的人员伤亡和财产损失，促进和保障额尔古纳市人口、资源、环境和经济的协调发展。</w:t>
      </w:r>
    </w:p>
    <w:p w14:paraId="4E97578E">
      <w:pPr>
        <w:pStyle w:val="82"/>
        <w:ind w:firstLine="648"/>
      </w:pPr>
      <w:r>
        <w:rPr>
          <w:rFonts w:hint="eastAsia"/>
        </w:rPr>
        <w:t>（1）推进重点</w:t>
      </w:r>
      <w:r>
        <w:t>山洪沟</w:t>
      </w:r>
      <w:r>
        <w:rPr>
          <w:rFonts w:hint="eastAsia"/>
        </w:rPr>
        <w:t>治理</w:t>
      </w:r>
    </w:p>
    <w:p w14:paraId="7CA83B16">
      <w:pPr>
        <w:pStyle w:val="82"/>
        <w:ind w:firstLine="648"/>
      </w:pPr>
      <w:r>
        <w:rPr>
          <w:rFonts w:hint="eastAsia"/>
        </w:rPr>
        <w:t>根据各小流域山洪成灾特点，结合当地地形条件及人口经济布局，分别采取不同的措施安排。</w:t>
      </w:r>
    </w:p>
    <w:p w14:paraId="6A4B167E">
      <w:pPr>
        <w:pStyle w:val="82"/>
        <w:ind w:firstLine="648"/>
      </w:pPr>
      <w:r>
        <w:rPr>
          <w:rFonts w:hint="eastAsia"/>
        </w:rPr>
        <w:t>通过实施重点山洪沟防洪治理项目，与山洪灾害监测预警系统和群测群防体系相结合,形成重点山洪沟所在小流域相对完善的山洪灾害防治体系，增强沿岸城镇、集中居民点、重要基础设施等防护对象的山洪灾害综合防御能力，有效减少人员伤亡和财产损失。</w:t>
      </w:r>
    </w:p>
    <w:p w14:paraId="734D8FFF">
      <w:pPr>
        <w:pStyle w:val="82"/>
        <w:ind w:firstLine="648"/>
      </w:pPr>
      <w:r>
        <w:rPr>
          <w:rFonts w:hint="eastAsia"/>
        </w:rPr>
        <w:t>山洪沟上、中游沟谷较深，下游逐渐平缓，治理采取的工程措施应以护岸为主，沟道疏浚相结合。</w:t>
      </w:r>
    </w:p>
    <w:p w14:paraId="122965D8">
      <w:pPr>
        <w:pStyle w:val="82"/>
        <w:ind w:firstLine="648"/>
      </w:pPr>
      <w:r>
        <w:rPr>
          <w:rFonts w:hint="eastAsia"/>
        </w:rPr>
        <w:t>额尔古纳市大部分山洪沟两岸为无人区，本次规划对有防洪治理需求，沿岸分布有村镇和重要设施，亟待治理的</w:t>
      </w:r>
      <w:r>
        <w:t>15</w:t>
      </w:r>
      <w:r>
        <w:rPr>
          <w:rFonts w:hint="eastAsia"/>
        </w:rPr>
        <w:t>条山洪沟进行整治，治理长度</w:t>
      </w:r>
      <w:r>
        <w:t>40</w:t>
      </w:r>
      <w:r>
        <w:rPr>
          <w:rFonts w:hint="eastAsia"/>
        </w:rPr>
        <w:t>km，具体建设内容如下表所示。</w:t>
      </w:r>
    </w:p>
    <w:p w14:paraId="72A18715">
      <w:pPr>
        <w:pStyle w:val="130"/>
        <w:spacing w:after="156"/>
        <w:ind w:firstLine="600"/>
      </w:pPr>
      <w:r>
        <w:rPr>
          <w:rFonts w:hint="eastAsia"/>
        </w:rPr>
        <w:t>表</w:t>
      </w:r>
      <w:r>
        <w:t>3.3-</w:t>
      </w:r>
      <w:r>
        <w:rPr>
          <w:rFonts w:hint="eastAsia"/>
        </w:rPr>
        <w:t>3</w:t>
      </w:r>
      <w:r>
        <w:t xml:space="preserve">    </w:t>
      </w:r>
      <w:r>
        <w:rPr>
          <w:rFonts w:hint="eastAsia"/>
        </w:rPr>
        <w:t>额尔古纳市山洪沟治理规划表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
        <w:gridCol w:w="872"/>
        <w:gridCol w:w="726"/>
        <w:gridCol w:w="1161"/>
        <w:gridCol w:w="871"/>
        <w:gridCol w:w="873"/>
        <w:gridCol w:w="1162"/>
        <w:gridCol w:w="1162"/>
        <w:gridCol w:w="871"/>
        <w:gridCol w:w="1155"/>
      </w:tblGrid>
      <w:tr w14:paraId="0F96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blHeader/>
        </w:trPr>
        <w:tc>
          <w:tcPr>
            <w:tcW w:w="232" w:type="pct"/>
            <w:vAlign w:val="center"/>
          </w:tcPr>
          <w:p w14:paraId="3B306A70">
            <w:pPr>
              <w:pStyle w:val="131"/>
              <w:rPr>
                <w:b/>
                <w:bCs/>
              </w:rPr>
            </w:pPr>
            <w:r>
              <w:rPr>
                <w:rFonts w:hint="eastAsia"/>
                <w:b/>
                <w:bCs/>
              </w:rPr>
              <w:t>序号</w:t>
            </w:r>
          </w:p>
        </w:tc>
        <w:tc>
          <w:tcPr>
            <w:tcW w:w="469" w:type="pct"/>
            <w:vAlign w:val="center"/>
          </w:tcPr>
          <w:p w14:paraId="1B97396D">
            <w:pPr>
              <w:pStyle w:val="131"/>
              <w:rPr>
                <w:b/>
                <w:bCs/>
              </w:rPr>
            </w:pPr>
            <w:r>
              <w:rPr>
                <w:rFonts w:hint="eastAsia"/>
                <w:b/>
                <w:bCs/>
              </w:rPr>
              <w:t>名称</w:t>
            </w:r>
          </w:p>
        </w:tc>
        <w:tc>
          <w:tcPr>
            <w:tcW w:w="391" w:type="pct"/>
            <w:vAlign w:val="center"/>
          </w:tcPr>
          <w:p w14:paraId="51FE3968">
            <w:pPr>
              <w:pStyle w:val="131"/>
              <w:rPr>
                <w:b/>
                <w:bCs/>
              </w:rPr>
            </w:pPr>
            <w:r>
              <w:rPr>
                <w:rFonts w:hint="eastAsia"/>
                <w:b/>
                <w:bCs/>
              </w:rPr>
              <w:t>所在水系</w:t>
            </w:r>
          </w:p>
        </w:tc>
        <w:tc>
          <w:tcPr>
            <w:tcW w:w="625" w:type="pct"/>
            <w:vAlign w:val="center"/>
          </w:tcPr>
          <w:p w14:paraId="1A6EE2B7">
            <w:pPr>
              <w:pStyle w:val="131"/>
              <w:rPr>
                <w:b/>
                <w:bCs/>
              </w:rPr>
            </w:pPr>
            <w:r>
              <w:rPr>
                <w:rFonts w:hint="eastAsia"/>
                <w:b/>
                <w:bCs/>
              </w:rPr>
              <w:t>流域面积（</w:t>
            </w:r>
            <w:r>
              <w:rPr>
                <w:b/>
                <w:bCs/>
              </w:rPr>
              <w:t>km</w:t>
            </w:r>
            <w:r>
              <w:rPr>
                <w:b/>
                <w:bCs/>
                <w:vertAlign w:val="superscript"/>
              </w:rPr>
              <w:t>2</w:t>
            </w:r>
            <w:r>
              <w:rPr>
                <w:rFonts w:hint="eastAsia"/>
                <w:b/>
                <w:bCs/>
              </w:rPr>
              <w:t>）</w:t>
            </w:r>
          </w:p>
        </w:tc>
        <w:tc>
          <w:tcPr>
            <w:tcW w:w="469" w:type="pct"/>
            <w:vAlign w:val="center"/>
          </w:tcPr>
          <w:p w14:paraId="6A5208D2">
            <w:pPr>
              <w:pStyle w:val="131"/>
              <w:rPr>
                <w:b/>
                <w:bCs/>
              </w:rPr>
            </w:pPr>
            <w:r>
              <w:rPr>
                <w:rFonts w:hint="eastAsia"/>
                <w:b/>
                <w:bCs/>
              </w:rPr>
              <w:t>治理长度（</w:t>
            </w:r>
            <w:r>
              <w:rPr>
                <w:b/>
                <w:bCs/>
              </w:rPr>
              <w:t>km</w:t>
            </w:r>
            <w:r>
              <w:rPr>
                <w:rFonts w:hint="eastAsia"/>
                <w:b/>
                <w:bCs/>
              </w:rPr>
              <w:t>）</w:t>
            </w:r>
          </w:p>
        </w:tc>
        <w:tc>
          <w:tcPr>
            <w:tcW w:w="470" w:type="pct"/>
            <w:vAlign w:val="center"/>
          </w:tcPr>
          <w:p w14:paraId="5BE4A897">
            <w:pPr>
              <w:pStyle w:val="131"/>
              <w:rPr>
                <w:b/>
                <w:bCs/>
              </w:rPr>
            </w:pPr>
            <w:r>
              <w:rPr>
                <w:rFonts w:hint="eastAsia"/>
                <w:b/>
                <w:bCs/>
              </w:rPr>
              <w:t>保护对象</w:t>
            </w:r>
          </w:p>
        </w:tc>
        <w:tc>
          <w:tcPr>
            <w:tcW w:w="626" w:type="pct"/>
            <w:vAlign w:val="center"/>
          </w:tcPr>
          <w:p w14:paraId="62EE094E">
            <w:pPr>
              <w:pStyle w:val="131"/>
              <w:rPr>
                <w:b/>
                <w:bCs/>
              </w:rPr>
            </w:pPr>
            <w:r>
              <w:rPr>
                <w:rFonts w:hint="eastAsia"/>
                <w:b/>
                <w:bCs/>
              </w:rPr>
              <w:t>保护人口（</w:t>
            </w:r>
            <w:r>
              <w:rPr>
                <w:b/>
                <w:bCs/>
              </w:rPr>
              <w:t>万人）</w:t>
            </w:r>
          </w:p>
        </w:tc>
        <w:tc>
          <w:tcPr>
            <w:tcW w:w="626" w:type="pct"/>
            <w:vAlign w:val="center"/>
          </w:tcPr>
          <w:p w14:paraId="714F77C4">
            <w:pPr>
              <w:pStyle w:val="131"/>
              <w:rPr>
                <w:b/>
                <w:bCs/>
              </w:rPr>
            </w:pPr>
            <w:r>
              <w:rPr>
                <w:rFonts w:hint="eastAsia"/>
                <w:b/>
                <w:bCs/>
              </w:rPr>
              <w:t>保护耕地（</w:t>
            </w:r>
            <w:r>
              <w:rPr>
                <w:b/>
                <w:bCs/>
              </w:rPr>
              <w:t>万亩）</w:t>
            </w:r>
          </w:p>
        </w:tc>
        <w:tc>
          <w:tcPr>
            <w:tcW w:w="469" w:type="pct"/>
            <w:vAlign w:val="center"/>
          </w:tcPr>
          <w:p w14:paraId="1E39E160">
            <w:pPr>
              <w:pStyle w:val="131"/>
              <w:rPr>
                <w:b/>
                <w:bCs/>
              </w:rPr>
            </w:pPr>
            <w:r>
              <w:rPr>
                <w:rFonts w:hint="eastAsia"/>
                <w:b/>
                <w:bCs/>
              </w:rPr>
              <w:t>治理标准</w:t>
            </w:r>
          </w:p>
        </w:tc>
        <w:tc>
          <w:tcPr>
            <w:tcW w:w="622" w:type="pct"/>
            <w:vAlign w:val="center"/>
          </w:tcPr>
          <w:p w14:paraId="3CD11825">
            <w:pPr>
              <w:pStyle w:val="131"/>
              <w:rPr>
                <w:b/>
                <w:bCs/>
              </w:rPr>
            </w:pPr>
            <w:r>
              <w:rPr>
                <w:rFonts w:hint="eastAsia"/>
                <w:b/>
                <w:bCs/>
              </w:rPr>
              <w:t>治理内容</w:t>
            </w:r>
          </w:p>
        </w:tc>
      </w:tr>
      <w:tr w14:paraId="5B47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24540057">
            <w:pPr>
              <w:pStyle w:val="131"/>
            </w:pPr>
            <w:r>
              <w:rPr>
                <w:rFonts w:hint="eastAsia"/>
              </w:rPr>
              <w:t>1</w:t>
            </w:r>
          </w:p>
        </w:tc>
        <w:tc>
          <w:tcPr>
            <w:tcW w:w="469" w:type="pct"/>
            <w:vAlign w:val="center"/>
          </w:tcPr>
          <w:p w14:paraId="11483341">
            <w:pPr>
              <w:pStyle w:val="131"/>
            </w:pPr>
            <w:r>
              <w:rPr>
                <w:rFonts w:hint="eastAsia"/>
              </w:rPr>
              <w:t>拉布大林</w:t>
            </w:r>
            <w:r>
              <w:t>煤矿西沟</w:t>
            </w:r>
          </w:p>
        </w:tc>
        <w:tc>
          <w:tcPr>
            <w:tcW w:w="391" w:type="pct"/>
            <w:vAlign w:val="center"/>
          </w:tcPr>
          <w:p w14:paraId="32014270">
            <w:pPr>
              <w:pStyle w:val="131"/>
            </w:pPr>
            <w:r>
              <w:rPr>
                <w:rFonts w:hint="eastAsia"/>
              </w:rPr>
              <w:t>根河</w:t>
            </w:r>
          </w:p>
        </w:tc>
        <w:tc>
          <w:tcPr>
            <w:tcW w:w="625" w:type="pct"/>
            <w:vAlign w:val="center"/>
          </w:tcPr>
          <w:p w14:paraId="10101B28">
            <w:pPr>
              <w:pStyle w:val="131"/>
            </w:pPr>
            <w:r>
              <w:t>121</w:t>
            </w:r>
          </w:p>
        </w:tc>
        <w:tc>
          <w:tcPr>
            <w:tcW w:w="469" w:type="pct"/>
            <w:vAlign w:val="center"/>
          </w:tcPr>
          <w:p w14:paraId="16E56FC6">
            <w:pPr>
              <w:pStyle w:val="131"/>
            </w:pPr>
            <w:r>
              <w:rPr>
                <w:rFonts w:hint="eastAsia"/>
              </w:rPr>
              <w:t>4.3</w:t>
            </w:r>
          </w:p>
        </w:tc>
        <w:tc>
          <w:tcPr>
            <w:tcW w:w="470" w:type="pct"/>
            <w:vAlign w:val="center"/>
          </w:tcPr>
          <w:p w14:paraId="2EE468D7">
            <w:pPr>
              <w:pStyle w:val="131"/>
            </w:pPr>
            <w:r>
              <w:rPr>
                <w:rFonts w:hint="eastAsia"/>
              </w:rPr>
              <w:t>拉布大林街道</w:t>
            </w:r>
          </w:p>
        </w:tc>
        <w:tc>
          <w:tcPr>
            <w:tcW w:w="626" w:type="pct"/>
            <w:vAlign w:val="center"/>
          </w:tcPr>
          <w:p w14:paraId="223688AC">
            <w:pPr>
              <w:pStyle w:val="131"/>
            </w:pPr>
            <w:r>
              <w:t>3.7005</w:t>
            </w:r>
          </w:p>
        </w:tc>
        <w:tc>
          <w:tcPr>
            <w:tcW w:w="626" w:type="pct"/>
            <w:vAlign w:val="center"/>
          </w:tcPr>
          <w:p w14:paraId="41E05D1F">
            <w:pPr>
              <w:pStyle w:val="131"/>
            </w:pPr>
            <w:r>
              <w:t>10.0231</w:t>
            </w:r>
          </w:p>
        </w:tc>
        <w:tc>
          <w:tcPr>
            <w:tcW w:w="469" w:type="pct"/>
            <w:vAlign w:val="center"/>
          </w:tcPr>
          <w:p w14:paraId="54A0BC1A">
            <w:pPr>
              <w:pStyle w:val="131"/>
            </w:pPr>
            <w:r>
              <w:rPr>
                <w:rFonts w:hint="eastAsia"/>
              </w:rPr>
              <w:t>1</w:t>
            </w:r>
            <w:r>
              <w:t>0</w:t>
            </w:r>
            <w:r>
              <w:rPr>
                <w:rFonts w:hint="eastAsia"/>
              </w:rPr>
              <w:t>年</w:t>
            </w:r>
            <w:r>
              <w:t>一遇</w:t>
            </w:r>
          </w:p>
        </w:tc>
        <w:tc>
          <w:tcPr>
            <w:tcW w:w="622" w:type="pct"/>
            <w:vAlign w:val="center"/>
          </w:tcPr>
          <w:p w14:paraId="485479CE">
            <w:pPr>
              <w:pStyle w:val="131"/>
            </w:pPr>
            <w:r>
              <w:rPr>
                <w:rFonts w:hint="eastAsia"/>
              </w:rPr>
              <w:t>对现有沟道进行护砌并清淤</w:t>
            </w:r>
          </w:p>
        </w:tc>
      </w:tr>
      <w:tr w14:paraId="5096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5D5AC3B9">
            <w:pPr>
              <w:pStyle w:val="131"/>
            </w:pPr>
            <w:r>
              <w:rPr>
                <w:rFonts w:hint="eastAsia"/>
              </w:rPr>
              <w:t>2</w:t>
            </w:r>
          </w:p>
        </w:tc>
        <w:tc>
          <w:tcPr>
            <w:tcW w:w="469" w:type="pct"/>
            <w:vAlign w:val="center"/>
          </w:tcPr>
          <w:p w14:paraId="62FB9532">
            <w:pPr>
              <w:pStyle w:val="131"/>
            </w:pPr>
            <w:r>
              <w:rPr>
                <w:rFonts w:hint="eastAsia"/>
              </w:rPr>
              <w:t>8376高地北河</w:t>
            </w:r>
          </w:p>
        </w:tc>
        <w:tc>
          <w:tcPr>
            <w:tcW w:w="391" w:type="pct"/>
            <w:vAlign w:val="center"/>
          </w:tcPr>
          <w:p w14:paraId="318DBA34">
            <w:pPr>
              <w:pStyle w:val="131"/>
            </w:pPr>
            <w:r>
              <w:rPr>
                <w:rFonts w:hint="eastAsia"/>
              </w:rPr>
              <w:t>根河</w:t>
            </w:r>
          </w:p>
        </w:tc>
        <w:tc>
          <w:tcPr>
            <w:tcW w:w="625" w:type="pct"/>
            <w:vAlign w:val="center"/>
          </w:tcPr>
          <w:p w14:paraId="1F8382B5">
            <w:pPr>
              <w:pStyle w:val="131"/>
            </w:pPr>
            <w:r>
              <w:t>61.7</w:t>
            </w:r>
          </w:p>
        </w:tc>
        <w:tc>
          <w:tcPr>
            <w:tcW w:w="469" w:type="pct"/>
            <w:vAlign w:val="center"/>
          </w:tcPr>
          <w:p w14:paraId="32B2A6C0">
            <w:pPr>
              <w:pStyle w:val="131"/>
            </w:pPr>
            <w:r>
              <w:t>6.3</w:t>
            </w:r>
          </w:p>
        </w:tc>
        <w:tc>
          <w:tcPr>
            <w:tcW w:w="470" w:type="pct"/>
            <w:vAlign w:val="center"/>
          </w:tcPr>
          <w:p w14:paraId="2B5D9573">
            <w:pPr>
              <w:pStyle w:val="131"/>
            </w:pPr>
            <w:r>
              <w:t>葫芦头屯</w:t>
            </w:r>
          </w:p>
        </w:tc>
        <w:tc>
          <w:tcPr>
            <w:tcW w:w="626" w:type="pct"/>
            <w:vAlign w:val="center"/>
          </w:tcPr>
          <w:p w14:paraId="082A4AFD">
            <w:pPr>
              <w:pStyle w:val="131"/>
            </w:pPr>
            <w:r>
              <w:t>0.0336</w:t>
            </w:r>
          </w:p>
        </w:tc>
        <w:tc>
          <w:tcPr>
            <w:tcW w:w="626" w:type="pct"/>
            <w:vAlign w:val="center"/>
          </w:tcPr>
          <w:p w14:paraId="026E3636">
            <w:pPr>
              <w:pStyle w:val="131"/>
            </w:pPr>
            <w:r>
              <w:t>2.8894</w:t>
            </w:r>
          </w:p>
        </w:tc>
        <w:tc>
          <w:tcPr>
            <w:tcW w:w="469" w:type="pct"/>
            <w:vAlign w:val="center"/>
          </w:tcPr>
          <w:p w14:paraId="40F11E05">
            <w:pPr>
              <w:pStyle w:val="131"/>
            </w:pPr>
            <w:r>
              <w:rPr>
                <w:rFonts w:hint="eastAsia"/>
              </w:rPr>
              <w:t>1</w:t>
            </w:r>
            <w:r>
              <w:t>0</w:t>
            </w:r>
            <w:r>
              <w:rPr>
                <w:rFonts w:hint="eastAsia"/>
              </w:rPr>
              <w:t>年</w:t>
            </w:r>
            <w:r>
              <w:t>一遇</w:t>
            </w:r>
          </w:p>
        </w:tc>
        <w:tc>
          <w:tcPr>
            <w:tcW w:w="622" w:type="pct"/>
            <w:vAlign w:val="center"/>
          </w:tcPr>
          <w:p w14:paraId="76860F62">
            <w:pPr>
              <w:pStyle w:val="131"/>
            </w:pPr>
            <w:r>
              <w:rPr>
                <w:rFonts w:hint="eastAsia"/>
              </w:rPr>
              <w:t>对现有沟道进行护砌并清淤</w:t>
            </w:r>
          </w:p>
        </w:tc>
      </w:tr>
      <w:tr w14:paraId="408E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1A75E8AF">
            <w:pPr>
              <w:pStyle w:val="131"/>
            </w:pPr>
            <w:r>
              <w:rPr>
                <w:rFonts w:hint="eastAsia"/>
              </w:rPr>
              <w:t>3</w:t>
            </w:r>
          </w:p>
        </w:tc>
        <w:tc>
          <w:tcPr>
            <w:tcW w:w="469" w:type="pct"/>
            <w:vAlign w:val="center"/>
          </w:tcPr>
          <w:p w14:paraId="1A15B9EA">
            <w:pPr>
              <w:pStyle w:val="131"/>
            </w:pPr>
            <w:r>
              <w:rPr>
                <w:rFonts w:hint="eastAsia"/>
              </w:rPr>
              <w:t>三河道十一</w:t>
            </w:r>
            <w:r>
              <w:t>牧场河</w:t>
            </w:r>
          </w:p>
        </w:tc>
        <w:tc>
          <w:tcPr>
            <w:tcW w:w="391" w:type="pct"/>
            <w:vAlign w:val="center"/>
          </w:tcPr>
          <w:p w14:paraId="24F0C0E0">
            <w:pPr>
              <w:pStyle w:val="131"/>
            </w:pPr>
            <w:r>
              <w:rPr>
                <w:rFonts w:hint="eastAsia"/>
              </w:rPr>
              <w:t>得尔布干河</w:t>
            </w:r>
          </w:p>
        </w:tc>
        <w:tc>
          <w:tcPr>
            <w:tcW w:w="625" w:type="pct"/>
            <w:vAlign w:val="center"/>
          </w:tcPr>
          <w:p w14:paraId="167083A0">
            <w:pPr>
              <w:pStyle w:val="131"/>
            </w:pPr>
            <w:r>
              <w:t>95.8</w:t>
            </w:r>
          </w:p>
        </w:tc>
        <w:tc>
          <w:tcPr>
            <w:tcW w:w="469" w:type="pct"/>
            <w:vAlign w:val="center"/>
          </w:tcPr>
          <w:p w14:paraId="44E0AA88">
            <w:pPr>
              <w:pStyle w:val="131"/>
            </w:pPr>
            <w:r>
              <w:rPr>
                <w:rFonts w:hint="eastAsia"/>
              </w:rPr>
              <w:t>2.7</w:t>
            </w:r>
          </w:p>
        </w:tc>
        <w:tc>
          <w:tcPr>
            <w:tcW w:w="470" w:type="pct"/>
            <w:vAlign w:val="center"/>
          </w:tcPr>
          <w:p w14:paraId="476CBC3B">
            <w:pPr>
              <w:pStyle w:val="131"/>
            </w:pPr>
            <w:r>
              <w:rPr>
                <w:rFonts w:hint="eastAsia"/>
              </w:rPr>
              <w:t>105屯</w:t>
            </w:r>
          </w:p>
        </w:tc>
        <w:tc>
          <w:tcPr>
            <w:tcW w:w="626" w:type="pct"/>
            <w:vAlign w:val="center"/>
          </w:tcPr>
          <w:p w14:paraId="07AFA472">
            <w:pPr>
              <w:pStyle w:val="131"/>
            </w:pPr>
            <w:r>
              <w:t>0.0464</w:t>
            </w:r>
          </w:p>
        </w:tc>
        <w:tc>
          <w:tcPr>
            <w:tcW w:w="626" w:type="pct"/>
            <w:vAlign w:val="center"/>
          </w:tcPr>
          <w:p w14:paraId="33F8790D">
            <w:pPr>
              <w:pStyle w:val="131"/>
            </w:pPr>
            <w:r>
              <w:t>8.02</w:t>
            </w:r>
          </w:p>
        </w:tc>
        <w:tc>
          <w:tcPr>
            <w:tcW w:w="469" w:type="pct"/>
            <w:vAlign w:val="center"/>
          </w:tcPr>
          <w:p w14:paraId="1896A35D">
            <w:pPr>
              <w:pStyle w:val="131"/>
            </w:pPr>
            <w:r>
              <w:rPr>
                <w:rFonts w:hint="eastAsia"/>
              </w:rPr>
              <w:t>1</w:t>
            </w:r>
            <w:r>
              <w:t>0</w:t>
            </w:r>
            <w:r>
              <w:rPr>
                <w:rFonts w:hint="eastAsia"/>
              </w:rPr>
              <w:t>年</w:t>
            </w:r>
            <w:r>
              <w:t>一遇</w:t>
            </w:r>
          </w:p>
        </w:tc>
        <w:tc>
          <w:tcPr>
            <w:tcW w:w="622" w:type="pct"/>
            <w:vAlign w:val="center"/>
          </w:tcPr>
          <w:p w14:paraId="43DC4CF0">
            <w:pPr>
              <w:pStyle w:val="131"/>
            </w:pPr>
            <w:r>
              <w:rPr>
                <w:rFonts w:hint="eastAsia"/>
              </w:rPr>
              <w:t>对现有沟道进行护砌并清淤</w:t>
            </w:r>
          </w:p>
        </w:tc>
      </w:tr>
      <w:tr w14:paraId="20B7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44CAC96A">
            <w:pPr>
              <w:pStyle w:val="131"/>
            </w:pPr>
            <w:r>
              <w:rPr>
                <w:rFonts w:hint="eastAsia"/>
              </w:rPr>
              <w:t>4</w:t>
            </w:r>
          </w:p>
        </w:tc>
        <w:tc>
          <w:tcPr>
            <w:tcW w:w="469" w:type="pct"/>
            <w:vAlign w:val="center"/>
          </w:tcPr>
          <w:p w14:paraId="75F3A66E">
            <w:pPr>
              <w:pStyle w:val="131"/>
            </w:pPr>
            <w:r>
              <w:rPr>
                <w:rFonts w:hint="eastAsia"/>
              </w:rPr>
              <w:t>那布大林主沟</w:t>
            </w:r>
          </w:p>
        </w:tc>
        <w:tc>
          <w:tcPr>
            <w:tcW w:w="391" w:type="pct"/>
            <w:vAlign w:val="center"/>
          </w:tcPr>
          <w:p w14:paraId="463C1B7B">
            <w:pPr>
              <w:pStyle w:val="131"/>
            </w:pPr>
            <w:r>
              <w:rPr>
                <w:rFonts w:hint="eastAsia"/>
              </w:rPr>
              <w:t>根河</w:t>
            </w:r>
          </w:p>
        </w:tc>
        <w:tc>
          <w:tcPr>
            <w:tcW w:w="625" w:type="pct"/>
            <w:vAlign w:val="center"/>
          </w:tcPr>
          <w:p w14:paraId="1B4C0253">
            <w:pPr>
              <w:pStyle w:val="131"/>
            </w:pPr>
            <w:r>
              <w:t>172</w:t>
            </w:r>
          </w:p>
        </w:tc>
        <w:tc>
          <w:tcPr>
            <w:tcW w:w="469" w:type="pct"/>
            <w:vAlign w:val="center"/>
          </w:tcPr>
          <w:p w14:paraId="398FFBFA">
            <w:pPr>
              <w:pStyle w:val="131"/>
            </w:pPr>
            <w:r>
              <w:rPr>
                <w:rFonts w:hint="eastAsia"/>
              </w:rPr>
              <w:t>1.3</w:t>
            </w:r>
          </w:p>
        </w:tc>
        <w:tc>
          <w:tcPr>
            <w:tcW w:w="470" w:type="pct"/>
            <w:vAlign w:val="center"/>
          </w:tcPr>
          <w:p w14:paraId="208C0586">
            <w:pPr>
              <w:pStyle w:val="131"/>
            </w:pPr>
            <w:r>
              <w:rPr>
                <w:rFonts w:hint="eastAsia"/>
              </w:rPr>
              <w:t>拉布大林</w:t>
            </w:r>
            <w:r>
              <w:t>农牧场第四生产队</w:t>
            </w:r>
          </w:p>
        </w:tc>
        <w:tc>
          <w:tcPr>
            <w:tcW w:w="626" w:type="pct"/>
            <w:vAlign w:val="center"/>
          </w:tcPr>
          <w:p w14:paraId="2BE30513">
            <w:pPr>
              <w:pStyle w:val="131"/>
            </w:pPr>
            <w:r>
              <w:t>0.0354</w:t>
            </w:r>
          </w:p>
        </w:tc>
        <w:tc>
          <w:tcPr>
            <w:tcW w:w="626" w:type="pct"/>
            <w:vAlign w:val="center"/>
          </w:tcPr>
          <w:p w14:paraId="01F5C27E">
            <w:pPr>
              <w:pStyle w:val="131"/>
            </w:pPr>
            <w:r>
              <w:t>5.0205</w:t>
            </w:r>
          </w:p>
        </w:tc>
        <w:tc>
          <w:tcPr>
            <w:tcW w:w="469" w:type="pct"/>
            <w:vAlign w:val="center"/>
          </w:tcPr>
          <w:p w14:paraId="2A12B90C">
            <w:pPr>
              <w:pStyle w:val="131"/>
            </w:pPr>
            <w:r>
              <w:rPr>
                <w:rFonts w:hint="eastAsia"/>
              </w:rPr>
              <w:t>1</w:t>
            </w:r>
            <w:r>
              <w:t>0</w:t>
            </w:r>
            <w:r>
              <w:rPr>
                <w:rFonts w:hint="eastAsia"/>
              </w:rPr>
              <w:t>年</w:t>
            </w:r>
            <w:r>
              <w:t>一遇</w:t>
            </w:r>
          </w:p>
        </w:tc>
        <w:tc>
          <w:tcPr>
            <w:tcW w:w="622" w:type="pct"/>
            <w:vAlign w:val="center"/>
          </w:tcPr>
          <w:p w14:paraId="4B086BB5">
            <w:pPr>
              <w:pStyle w:val="131"/>
            </w:pPr>
            <w:r>
              <w:rPr>
                <w:rFonts w:hint="eastAsia"/>
              </w:rPr>
              <w:t>对现有沟道进行护砌并清淤</w:t>
            </w:r>
          </w:p>
        </w:tc>
      </w:tr>
      <w:tr w14:paraId="5964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5B58BF17">
            <w:pPr>
              <w:pStyle w:val="131"/>
            </w:pPr>
            <w:r>
              <w:rPr>
                <w:rFonts w:hint="eastAsia"/>
              </w:rPr>
              <w:t>5</w:t>
            </w:r>
          </w:p>
        </w:tc>
        <w:tc>
          <w:tcPr>
            <w:tcW w:w="469" w:type="pct"/>
            <w:vAlign w:val="center"/>
          </w:tcPr>
          <w:p w14:paraId="211DAFC3">
            <w:pPr>
              <w:pStyle w:val="131"/>
            </w:pPr>
            <w:r>
              <w:rPr>
                <w:rFonts w:hint="eastAsia"/>
              </w:rPr>
              <w:t>恩和</w:t>
            </w:r>
            <w:r>
              <w:t>七卡山洪沟</w:t>
            </w:r>
          </w:p>
        </w:tc>
        <w:tc>
          <w:tcPr>
            <w:tcW w:w="391" w:type="pct"/>
            <w:vAlign w:val="center"/>
          </w:tcPr>
          <w:p w14:paraId="78C1A1E6">
            <w:pPr>
              <w:pStyle w:val="131"/>
            </w:pPr>
            <w:r>
              <w:rPr>
                <w:rFonts w:hint="eastAsia"/>
              </w:rPr>
              <w:t>额尔古纳河</w:t>
            </w:r>
          </w:p>
        </w:tc>
        <w:tc>
          <w:tcPr>
            <w:tcW w:w="625" w:type="pct"/>
            <w:vAlign w:val="center"/>
          </w:tcPr>
          <w:p w14:paraId="4F30C4C8">
            <w:pPr>
              <w:pStyle w:val="131"/>
            </w:pPr>
            <w:r>
              <w:t>275</w:t>
            </w:r>
          </w:p>
        </w:tc>
        <w:tc>
          <w:tcPr>
            <w:tcW w:w="469" w:type="pct"/>
            <w:vAlign w:val="center"/>
          </w:tcPr>
          <w:p w14:paraId="08AECB86">
            <w:pPr>
              <w:pStyle w:val="131"/>
            </w:pPr>
            <w:r>
              <w:rPr>
                <w:rFonts w:hint="eastAsia"/>
              </w:rPr>
              <w:t>2.2</w:t>
            </w:r>
          </w:p>
        </w:tc>
        <w:tc>
          <w:tcPr>
            <w:tcW w:w="470" w:type="pct"/>
            <w:vAlign w:val="center"/>
          </w:tcPr>
          <w:p w14:paraId="7865278D">
            <w:pPr>
              <w:pStyle w:val="131"/>
            </w:pPr>
            <w:r>
              <w:rPr>
                <w:rFonts w:hint="eastAsia"/>
              </w:rPr>
              <w:t>七卡村</w:t>
            </w:r>
          </w:p>
        </w:tc>
        <w:tc>
          <w:tcPr>
            <w:tcW w:w="626" w:type="pct"/>
            <w:vAlign w:val="center"/>
          </w:tcPr>
          <w:p w14:paraId="579BA276">
            <w:pPr>
              <w:pStyle w:val="131"/>
            </w:pPr>
            <w:r>
              <w:t>0.045</w:t>
            </w:r>
          </w:p>
        </w:tc>
        <w:tc>
          <w:tcPr>
            <w:tcW w:w="626" w:type="pct"/>
            <w:vAlign w:val="center"/>
          </w:tcPr>
          <w:p w14:paraId="2E4264FE">
            <w:pPr>
              <w:pStyle w:val="131"/>
            </w:pPr>
            <w:r>
              <w:t>6.35</w:t>
            </w:r>
          </w:p>
        </w:tc>
        <w:tc>
          <w:tcPr>
            <w:tcW w:w="469" w:type="pct"/>
            <w:vAlign w:val="center"/>
          </w:tcPr>
          <w:p w14:paraId="4BD03DC1">
            <w:pPr>
              <w:pStyle w:val="131"/>
            </w:pPr>
            <w:r>
              <w:rPr>
                <w:rFonts w:hint="eastAsia"/>
              </w:rPr>
              <w:t>1</w:t>
            </w:r>
            <w:r>
              <w:t>0</w:t>
            </w:r>
            <w:r>
              <w:rPr>
                <w:rFonts w:hint="eastAsia"/>
              </w:rPr>
              <w:t>年</w:t>
            </w:r>
            <w:r>
              <w:t>一遇</w:t>
            </w:r>
          </w:p>
        </w:tc>
        <w:tc>
          <w:tcPr>
            <w:tcW w:w="622" w:type="pct"/>
            <w:vAlign w:val="center"/>
          </w:tcPr>
          <w:p w14:paraId="1AD3540B">
            <w:pPr>
              <w:pStyle w:val="131"/>
            </w:pPr>
            <w:r>
              <w:rPr>
                <w:rFonts w:hint="eastAsia"/>
              </w:rPr>
              <w:t>对现有沟道进行护砌并清淤</w:t>
            </w:r>
          </w:p>
        </w:tc>
      </w:tr>
      <w:tr w14:paraId="6BE1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41A1D93D">
            <w:pPr>
              <w:pStyle w:val="131"/>
            </w:pPr>
            <w:r>
              <w:rPr>
                <w:rFonts w:hint="eastAsia"/>
              </w:rPr>
              <w:t>6</w:t>
            </w:r>
          </w:p>
        </w:tc>
        <w:tc>
          <w:tcPr>
            <w:tcW w:w="469" w:type="pct"/>
            <w:vAlign w:val="center"/>
          </w:tcPr>
          <w:p w14:paraId="4DE81782">
            <w:pPr>
              <w:pStyle w:val="131"/>
            </w:pPr>
            <w:r>
              <w:rPr>
                <w:rFonts w:hint="eastAsia"/>
              </w:rPr>
              <w:t>恩和</w:t>
            </w:r>
            <w:r>
              <w:t>正阳山洪沟</w:t>
            </w:r>
          </w:p>
        </w:tc>
        <w:tc>
          <w:tcPr>
            <w:tcW w:w="391" w:type="pct"/>
            <w:vAlign w:val="center"/>
          </w:tcPr>
          <w:p w14:paraId="12486673">
            <w:pPr>
              <w:pStyle w:val="131"/>
            </w:pPr>
            <w:r>
              <w:rPr>
                <w:rFonts w:hint="eastAsia"/>
              </w:rPr>
              <w:t>额尔古纳河</w:t>
            </w:r>
          </w:p>
        </w:tc>
        <w:tc>
          <w:tcPr>
            <w:tcW w:w="625" w:type="pct"/>
            <w:vAlign w:val="center"/>
          </w:tcPr>
          <w:p w14:paraId="77E4DC58">
            <w:pPr>
              <w:pStyle w:val="131"/>
            </w:pPr>
            <w:r>
              <w:t>1.2</w:t>
            </w:r>
          </w:p>
        </w:tc>
        <w:tc>
          <w:tcPr>
            <w:tcW w:w="469" w:type="pct"/>
            <w:vAlign w:val="center"/>
          </w:tcPr>
          <w:p w14:paraId="1A5D88C2">
            <w:pPr>
              <w:pStyle w:val="131"/>
            </w:pPr>
            <w:r>
              <w:rPr>
                <w:rFonts w:hint="eastAsia"/>
              </w:rPr>
              <w:t>1.</w:t>
            </w:r>
            <w:r>
              <w:t>9</w:t>
            </w:r>
          </w:p>
        </w:tc>
        <w:tc>
          <w:tcPr>
            <w:tcW w:w="470" w:type="pct"/>
            <w:vAlign w:val="center"/>
          </w:tcPr>
          <w:p w14:paraId="41B245D4">
            <w:pPr>
              <w:pStyle w:val="131"/>
            </w:pPr>
            <w:r>
              <w:rPr>
                <w:rFonts w:hint="eastAsia"/>
              </w:rPr>
              <w:t>正阳</w:t>
            </w:r>
            <w:r>
              <w:t>村</w:t>
            </w:r>
          </w:p>
        </w:tc>
        <w:tc>
          <w:tcPr>
            <w:tcW w:w="626" w:type="pct"/>
            <w:vAlign w:val="center"/>
          </w:tcPr>
          <w:p w14:paraId="59378919">
            <w:pPr>
              <w:pStyle w:val="131"/>
            </w:pPr>
            <w:r>
              <w:t>0.0361</w:t>
            </w:r>
          </w:p>
        </w:tc>
        <w:tc>
          <w:tcPr>
            <w:tcW w:w="626" w:type="pct"/>
            <w:vAlign w:val="center"/>
          </w:tcPr>
          <w:p w14:paraId="372AD6FE">
            <w:pPr>
              <w:pStyle w:val="131"/>
            </w:pPr>
            <w:r>
              <w:t>6.15</w:t>
            </w:r>
          </w:p>
        </w:tc>
        <w:tc>
          <w:tcPr>
            <w:tcW w:w="469" w:type="pct"/>
            <w:vAlign w:val="center"/>
          </w:tcPr>
          <w:p w14:paraId="6E85E088">
            <w:pPr>
              <w:pStyle w:val="131"/>
            </w:pPr>
            <w:r>
              <w:rPr>
                <w:rFonts w:hint="eastAsia"/>
              </w:rPr>
              <w:t>1</w:t>
            </w:r>
            <w:r>
              <w:t>0</w:t>
            </w:r>
            <w:r>
              <w:rPr>
                <w:rFonts w:hint="eastAsia"/>
              </w:rPr>
              <w:t>年</w:t>
            </w:r>
            <w:r>
              <w:t>一遇</w:t>
            </w:r>
          </w:p>
        </w:tc>
        <w:tc>
          <w:tcPr>
            <w:tcW w:w="622" w:type="pct"/>
            <w:vAlign w:val="center"/>
          </w:tcPr>
          <w:p w14:paraId="0B0FC296">
            <w:pPr>
              <w:pStyle w:val="131"/>
            </w:pPr>
            <w:r>
              <w:rPr>
                <w:rFonts w:hint="eastAsia"/>
              </w:rPr>
              <w:t>对现有沟道进行护砌并清淤，</w:t>
            </w:r>
            <w:r>
              <w:t>新建撇洪沟</w:t>
            </w:r>
            <w:r>
              <w:rPr>
                <w:rFonts w:hint="eastAsia"/>
              </w:rPr>
              <w:t>1.3km</w:t>
            </w:r>
          </w:p>
        </w:tc>
      </w:tr>
      <w:tr w14:paraId="0A8B5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38114C85">
            <w:pPr>
              <w:pStyle w:val="131"/>
            </w:pPr>
            <w:r>
              <w:rPr>
                <w:rFonts w:hint="eastAsia"/>
              </w:rPr>
              <w:t>7</w:t>
            </w:r>
          </w:p>
        </w:tc>
        <w:tc>
          <w:tcPr>
            <w:tcW w:w="469" w:type="pct"/>
            <w:vAlign w:val="center"/>
          </w:tcPr>
          <w:p w14:paraId="709367B9">
            <w:pPr>
              <w:pStyle w:val="131"/>
            </w:pPr>
            <w:r>
              <w:rPr>
                <w:rFonts w:hint="eastAsia"/>
              </w:rPr>
              <w:t>三河</w:t>
            </w:r>
            <w:r>
              <w:t>沟</w:t>
            </w:r>
          </w:p>
        </w:tc>
        <w:tc>
          <w:tcPr>
            <w:tcW w:w="391" w:type="pct"/>
            <w:vAlign w:val="center"/>
          </w:tcPr>
          <w:p w14:paraId="594AE33B">
            <w:pPr>
              <w:pStyle w:val="131"/>
            </w:pPr>
            <w:r>
              <w:rPr>
                <w:rFonts w:hint="eastAsia"/>
              </w:rPr>
              <w:t>得尔布干河</w:t>
            </w:r>
          </w:p>
        </w:tc>
        <w:tc>
          <w:tcPr>
            <w:tcW w:w="625" w:type="pct"/>
            <w:vAlign w:val="center"/>
          </w:tcPr>
          <w:p w14:paraId="48D9A4F1">
            <w:pPr>
              <w:pStyle w:val="131"/>
            </w:pPr>
            <w:r>
              <w:t>65.1</w:t>
            </w:r>
          </w:p>
        </w:tc>
        <w:tc>
          <w:tcPr>
            <w:tcW w:w="469" w:type="pct"/>
            <w:vAlign w:val="center"/>
          </w:tcPr>
          <w:p w14:paraId="6FC3E385">
            <w:pPr>
              <w:pStyle w:val="131"/>
            </w:pPr>
            <w:r>
              <w:rPr>
                <w:rFonts w:hint="eastAsia"/>
              </w:rPr>
              <w:t>4.1</w:t>
            </w:r>
          </w:p>
        </w:tc>
        <w:tc>
          <w:tcPr>
            <w:tcW w:w="470" w:type="pct"/>
            <w:vAlign w:val="center"/>
          </w:tcPr>
          <w:p w14:paraId="45C5B697">
            <w:pPr>
              <w:pStyle w:val="131"/>
            </w:pPr>
            <w:r>
              <w:rPr>
                <w:rFonts w:hint="eastAsia"/>
              </w:rPr>
              <w:t>三河</w:t>
            </w:r>
            <w:r>
              <w:t>回族乡</w:t>
            </w:r>
          </w:p>
        </w:tc>
        <w:tc>
          <w:tcPr>
            <w:tcW w:w="626" w:type="pct"/>
            <w:vAlign w:val="center"/>
          </w:tcPr>
          <w:p w14:paraId="6F65A332">
            <w:pPr>
              <w:pStyle w:val="131"/>
            </w:pPr>
            <w:r>
              <w:t>1.1500</w:t>
            </w:r>
          </w:p>
        </w:tc>
        <w:tc>
          <w:tcPr>
            <w:tcW w:w="626" w:type="pct"/>
            <w:vAlign w:val="center"/>
          </w:tcPr>
          <w:p w14:paraId="15BCDEAB">
            <w:pPr>
              <w:pStyle w:val="131"/>
            </w:pPr>
            <w:r>
              <w:t>75.32</w:t>
            </w:r>
          </w:p>
        </w:tc>
        <w:tc>
          <w:tcPr>
            <w:tcW w:w="469" w:type="pct"/>
            <w:vAlign w:val="center"/>
          </w:tcPr>
          <w:p w14:paraId="2D0B96DA">
            <w:pPr>
              <w:pStyle w:val="131"/>
            </w:pPr>
            <w:r>
              <w:rPr>
                <w:rFonts w:hint="eastAsia"/>
              </w:rPr>
              <w:t>1</w:t>
            </w:r>
            <w:r>
              <w:t>0</w:t>
            </w:r>
            <w:r>
              <w:rPr>
                <w:rFonts w:hint="eastAsia"/>
              </w:rPr>
              <w:t>年</w:t>
            </w:r>
            <w:r>
              <w:t>一遇</w:t>
            </w:r>
          </w:p>
        </w:tc>
        <w:tc>
          <w:tcPr>
            <w:tcW w:w="622" w:type="pct"/>
            <w:vAlign w:val="center"/>
          </w:tcPr>
          <w:p w14:paraId="2F9B7D1E">
            <w:pPr>
              <w:pStyle w:val="131"/>
            </w:pPr>
            <w:r>
              <w:rPr>
                <w:rFonts w:hint="eastAsia"/>
              </w:rPr>
              <w:t>对现有沟道进行护砌并清淤</w:t>
            </w:r>
          </w:p>
        </w:tc>
      </w:tr>
      <w:tr w14:paraId="5D5B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5D13E8C7">
            <w:pPr>
              <w:pStyle w:val="131"/>
            </w:pPr>
            <w:r>
              <w:rPr>
                <w:rFonts w:hint="eastAsia"/>
              </w:rPr>
              <w:t>8</w:t>
            </w:r>
          </w:p>
        </w:tc>
        <w:tc>
          <w:tcPr>
            <w:tcW w:w="469" w:type="pct"/>
            <w:vAlign w:val="center"/>
          </w:tcPr>
          <w:p w14:paraId="493CDBB8">
            <w:pPr>
              <w:pStyle w:val="131"/>
            </w:pPr>
            <w:r>
              <w:rPr>
                <w:rFonts w:hint="eastAsia"/>
              </w:rPr>
              <w:t>上库力</w:t>
            </w:r>
            <w:r>
              <w:t>八队山洪沟</w:t>
            </w:r>
          </w:p>
        </w:tc>
        <w:tc>
          <w:tcPr>
            <w:tcW w:w="391" w:type="pct"/>
            <w:vAlign w:val="center"/>
          </w:tcPr>
          <w:p w14:paraId="22E4399E">
            <w:pPr>
              <w:pStyle w:val="131"/>
            </w:pPr>
            <w:r>
              <w:rPr>
                <w:rFonts w:hint="eastAsia"/>
              </w:rPr>
              <w:t>根河</w:t>
            </w:r>
          </w:p>
        </w:tc>
        <w:tc>
          <w:tcPr>
            <w:tcW w:w="625" w:type="pct"/>
            <w:vAlign w:val="center"/>
          </w:tcPr>
          <w:p w14:paraId="6E8732BB">
            <w:pPr>
              <w:pStyle w:val="131"/>
            </w:pPr>
            <w:r>
              <w:t>34.2</w:t>
            </w:r>
          </w:p>
        </w:tc>
        <w:tc>
          <w:tcPr>
            <w:tcW w:w="469" w:type="pct"/>
            <w:vAlign w:val="center"/>
          </w:tcPr>
          <w:p w14:paraId="3EFD41A8">
            <w:pPr>
              <w:pStyle w:val="131"/>
            </w:pPr>
            <w:r>
              <w:rPr>
                <w:rFonts w:hint="eastAsia"/>
              </w:rPr>
              <w:t>1.3</w:t>
            </w:r>
          </w:p>
        </w:tc>
        <w:tc>
          <w:tcPr>
            <w:tcW w:w="470" w:type="pct"/>
            <w:vAlign w:val="center"/>
          </w:tcPr>
          <w:p w14:paraId="0BD3502A">
            <w:pPr>
              <w:pStyle w:val="131"/>
            </w:pPr>
            <w:r>
              <w:rPr>
                <w:rFonts w:hint="eastAsia"/>
              </w:rPr>
              <w:t>小</w:t>
            </w:r>
            <w:r>
              <w:t>乌尔根屯</w:t>
            </w:r>
          </w:p>
        </w:tc>
        <w:tc>
          <w:tcPr>
            <w:tcW w:w="626" w:type="pct"/>
            <w:vAlign w:val="center"/>
          </w:tcPr>
          <w:p w14:paraId="01ACD672">
            <w:pPr>
              <w:pStyle w:val="131"/>
            </w:pPr>
            <w:r>
              <w:t>0.13</w:t>
            </w:r>
          </w:p>
        </w:tc>
        <w:tc>
          <w:tcPr>
            <w:tcW w:w="626" w:type="pct"/>
            <w:vAlign w:val="center"/>
          </w:tcPr>
          <w:p w14:paraId="441E1BF7">
            <w:pPr>
              <w:pStyle w:val="131"/>
            </w:pPr>
            <w:r>
              <w:t>0.84</w:t>
            </w:r>
          </w:p>
        </w:tc>
        <w:tc>
          <w:tcPr>
            <w:tcW w:w="469" w:type="pct"/>
            <w:vAlign w:val="center"/>
          </w:tcPr>
          <w:p w14:paraId="799FDE7E">
            <w:pPr>
              <w:pStyle w:val="131"/>
            </w:pPr>
            <w:r>
              <w:rPr>
                <w:rFonts w:hint="eastAsia"/>
              </w:rPr>
              <w:t>1</w:t>
            </w:r>
            <w:r>
              <w:t>0</w:t>
            </w:r>
            <w:r>
              <w:rPr>
                <w:rFonts w:hint="eastAsia"/>
              </w:rPr>
              <w:t>年</w:t>
            </w:r>
            <w:r>
              <w:t>一遇</w:t>
            </w:r>
          </w:p>
        </w:tc>
        <w:tc>
          <w:tcPr>
            <w:tcW w:w="622" w:type="pct"/>
            <w:vAlign w:val="center"/>
          </w:tcPr>
          <w:p w14:paraId="6A30D018">
            <w:pPr>
              <w:pStyle w:val="131"/>
            </w:pPr>
            <w:r>
              <w:rPr>
                <w:rFonts w:hint="eastAsia"/>
              </w:rPr>
              <w:t>对现有沟道进行护砌并清淤</w:t>
            </w:r>
          </w:p>
        </w:tc>
      </w:tr>
      <w:tr w14:paraId="63829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6220DACF">
            <w:pPr>
              <w:pStyle w:val="131"/>
            </w:pPr>
            <w:r>
              <w:rPr>
                <w:rFonts w:hint="eastAsia"/>
              </w:rPr>
              <w:t>9</w:t>
            </w:r>
          </w:p>
        </w:tc>
        <w:tc>
          <w:tcPr>
            <w:tcW w:w="469" w:type="pct"/>
            <w:vAlign w:val="center"/>
          </w:tcPr>
          <w:p w14:paraId="23A0EDC5">
            <w:pPr>
              <w:pStyle w:val="131"/>
            </w:pPr>
            <w:r>
              <w:rPr>
                <w:rFonts w:hint="eastAsia"/>
              </w:rPr>
              <w:t>坤</w:t>
            </w:r>
            <w:r>
              <w:t>库力</w:t>
            </w:r>
            <w:r>
              <w:rPr>
                <w:rFonts w:hint="eastAsia"/>
              </w:rPr>
              <w:t>山洪沟</w:t>
            </w:r>
          </w:p>
        </w:tc>
        <w:tc>
          <w:tcPr>
            <w:tcW w:w="391" w:type="pct"/>
            <w:vAlign w:val="center"/>
          </w:tcPr>
          <w:p w14:paraId="6333C0DE">
            <w:pPr>
              <w:pStyle w:val="131"/>
            </w:pPr>
            <w:r>
              <w:rPr>
                <w:rFonts w:hint="eastAsia"/>
              </w:rPr>
              <w:t>根河</w:t>
            </w:r>
          </w:p>
        </w:tc>
        <w:tc>
          <w:tcPr>
            <w:tcW w:w="625" w:type="pct"/>
            <w:vAlign w:val="center"/>
          </w:tcPr>
          <w:p w14:paraId="74DE0CE7">
            <w:pPr>
              <w:pStyle w:val="131"/>
            </w:pPr>
            <w:r>
              <w:t>1.5</w:t>
            </w:r>
          </w:p>
        </w:tc>
        <w:tc>
          <w:tcPr>
            <w:tcW w:w="469" w:type="pct"/>
            <w:vAlign w:val="center"/>
          </w:tcPr>
          <w:p w14:paraId="34521082">
            <w:pPr>
              <w:pStyle w:val="131"/>
            </w:pPr>
            <w:r>
              <w:rPr>
                <w:rFonts w:hint="eastAsia"/>
              </w:rPr>
              <w:t>2.6</w:t>
            </w:r>
          </w:p>
        </w:tc>
        <w:tc>
          <w:tcPr>
            <w:tcW w:w="470" w:type="pct"/>
            <w:vAlign w:val="center"/>
          </w:tcPr>
          <w:p w14:paraId="53A4FB55">
            <w:pPr>
              <w:pStyle w:val="131"/>
            </w:pPr>
            <w:r>
              <w:rPr>
                <w:rFonts w:hint="eastAsia"/>
              </w:rPr>
              <w:t>坤</w:t>
            </w:r>
            <w:r>
              <w:t>库力</w:t>
            </w:r>
            <w:r>
              <w:rPr>
                <w:rFonts w:hint="eastAsia"/>
              </w:rPr>
              <w:t>村</w:t>
            </w:r>
          </w:p>
        </w:tc>
        <w:tc>
          <w:tcPr>
            <w:tcW w:w="626" w:type="pct"/>
            <w:vAlign w:val="center"/>
          </w:tcPr>
          <w:p w14:paraId="0D7A4478">
            <w:pPr>
              <w:pStyle w:val="131"/>
            </w:pPr>
            <w:r>
              <w:t>0.0286</w:t>
            </w:r>
          </w:p>
        </w:tc>
        <w:tc>
          <w:tcPr>
            <w:tcW w:w="626" w:type="pct"/>
            <w:vAlign w:val="center"/>
          </w:tcPr>
          <w:p w14:paraId="452C4F66">
            <w:pPr>
              <w:pStyle w:val="131"/>
            </w:pPr>
            <w:r>
              <w:t>53.26</w:t>
            </w:r>
          </w:p>
        </w:tc>
        <w:tc>
          <w:tcPr>
            <w:tcW w:w="469" w:type="pct"/>
            <w:vAlign w:val="center"/>
          </w:tcPr>
          <w:p w14:paraId="5D6548CA">
            <w:pPr>
              <w:pStyle w:val="131"/>
            </w:pPr>
            <w:r>
              <w:rPr>
                <w:rFonts w:hint="eastAsia"/>
              </w:rPr>
              <w:t>1</w:t>
            </w:r>
            <w:r>
              <w:t>0</w:t>
            </w:r>
            <w:r>
              <w:rPr>
                <w:rFonts w:hint="eastAsia"/>
              </w:rPr>
              <w:t>年</w:t>
            </w:r>
            <w:r>
              <w:t>一遇</w:t>
            </w:r>
          </w:p>
        </w:tc>
        <w:tc>
          <w:tcPr>
            <w:tcW w:w="622" w:type="pct"/>
            <w:vAlign w:val="center"/>
          </w:tcPr>
          <w:p w14:paraId="5276965E">
            <w:pPr>
              <w:pStyle w:val="131"/>
            </w:pPr>
            <w:r>
              <w:rPr>
                <w:rFonts w:hint="eastAsia"/>
              </w:rPr>
              <w:t>对现有沟道进行护砌并清淤</w:t>
            </w:r>
          </w:p>
        </w:tc>
      </w:tr>
      <w:tr w14:paraId="55748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2D8F9BD1">
            <w:pPr>
              <w:pStyle w:val="131"/>
            </w:pPr>
            <w:r>
              <w:rPr>
                <w:rFonts w:hint="eastAsia"/>
              </w:rPr>
              <w:t>10</w:t>
            </w:r>
          </w:p>
        </w:tc>
        <w:tc>
          <w:tcPr>
            <w:tcW w:w="469" w:type="pct"/>
            <w:vAlign w:val="center"/>
          </w:tcPr>
          <w:p w14:paraId="61F285D6">
            <w:pPr>
              <w:pStyle w:val="131"/>
            </w:pPr>
            <w:r>
              <w:rPr>
                <w:rFonts w:hint="eastAsia"/>
                <w:sz w:val="20"/>
                <w:szCs w:val="20"/>
              </w:rPr>
              <w:t>巴罗木得库力河</w:t>
            </w:r>
          </w:p>
        </w:tc>
        <w:tc>
          <w:tcPr>
            <w:tcW w:w="391" w:type="pct"/>
            <w:vAlign w:val="center"/>
          </w:tcPr>
          <w:p w14:paraId="7BFD03AA">
            <w:pPr>
              <w:pStyle w:val="131"/>
            </w:pPr>
            <w:r>
              <w:rPr>
                <w:rFonts w:hint="eastAsia"/>
              </w:rPr>
              <w:t>根河</w:t>
            </w:r>
          </w:p>
        </w:tc>
        <w:tc>
          <w:tcPr>
            <w:tcW w:w="625" w:type="pct"/>
            <w:vAlign w:val="center"/>
          </w:tcPr>
          <w:p w14:paraId="55C70C36">
            <w:pPr>
              <w:pStyle w:val="131"/>
            </w:pPr>
            <w:r>
              <w:t>191</w:t>
            </w:r>
          </w:p>
        </w:tc>
        <w:tc>
          <w:tcPr>
            <w:tcW w:w="469" w:type="pct"/>
            <w:vAlign w:val="center"/>
          </w:tcPr>
          <w:p w14:paraId="3C48FB9D">
            <w:pPr>
              <w:pStyle w:val="131"/>
            </w:pPr>
            <w:r>
              <w:t>5</w:t>
            </w:r>
            <w:r>
              <w:rPr>
                <w:rFonts w:hint="eastAsia"/>
              </w:rPr>
              <w:t>.3</w:t>
            </w:r>
          </w:p>
        </w:tc>
        <w:tc>
          <w:tcPr>
            <w:tcW w:w="470" w:type="pct"/>
            <w:vAlign w:val="center"/>
          </w:tcPr>
          <w:p w14:paraId="020E1E7B">
            <w:pPr>
              <w:pStyle w:val="131"/>
            </w:pPr>
            <w:r>
              <w:rPr>
                <w:rFonts w:hint="eastAsia"/>
              </w:rPr>
              <w:t>青年沟屯</w:t>
            </w:r>
          </w:p>
        </w:tc>
        <w:tc>
          <w:tcPr>
            <w:tcW w:w="626" w:type="pct"/>
            <w:vAlign w:val="center"/>
          </w:tcPr>
          <w:p w14:paraId="2C184F1C">
            <w:pPr>
              <w:pStyle w:val="131"/>
            </w:pPr>
            <w:r>
              <w:t>0.0275</w:t>
            </w:r>
          </w:p>
        </w:tc>
        <w:tc>
          <w:tcPr>
            <w:tcW w:w="626" w:type="pct"/>
            <w:vAlign w:val="center"/>
          </w:tcPr>
          <w:p w14:paraId="3F4DD675">
            <w:pPr>
              <w:pStyle w:val="131"/>
            </w:pPr>
            <w:r>
              <w:t>1.1</w:t>
            </w:r>
          </w:p>
        </w:tc>
        <w:tc>
          <w:tcPr>
            <w:tcW w:w="469" w:type="pct"/>
            <w:vAlign w:val="center"/>
          </w:tcPr>
          <w:p w14:paraId="2AEE0AE4">
            <w:pPr>
              <w:pStyle w:val="131"/>
            </w:pPr>
            <w:r>
              <w:rPr>
                <w:rFonts w:hint="eastAsia"/>
              </w:rPr>
              <w:t>1</w:t>
            </w:r>
            <w:r>
              <w:t>0</w:t>
            </w:r>
            <w:r>
              <w:rPr>
                <w:rFonts w:hint="eastAsia"/>
              </w:rPr>
              <w:t>年</w:t>
            </w:r>
            <w:r>
              <w:t>一遇</w:t>
            </w:r>
          </w:p>
        </w:tc>
        <w:tc>
          <w:tcPr>
            <w:tcW w:w="622" w:type="pct"/>
            <w:vAlign w:val="center"/>
          </w:tcPr>
          <w:p w14:paraId="23787C8E">
            <w:pPr>
              <w:pStyle w:val="131"/>
            </w:pPr>
            <w:r>
              <w:rPr>
                <w:rFonts w:hint="eastAsia"/>
              </w:rPr>
              <w:t>对现有沟道进行护砌并清淤</w:t>
            </w:r>
          </w:p>
        </w:tc>
      </w:tr>
      <w:tr w14:paraId="721E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584336FE">
            <w:pPr>
              <w:pStyle w:val="131"/>
            </w:pPr>
            <w:r>
              <w:rPr>
                <w:rFonts w:hint="eastAsia"/>
              </w:rPr>
              <w:t>11</w:t>
            </w:r>
          </w:p>
        </w:tc>
        <w:tc>
          <w:tcPr>
            <w:tcW w:w="469" w:type="pct"/>
            <w:vAlign w:val="center"/>
          </w:tcPr>
          <w:p w14:paraId="372B5412">
            <w:pPr>
              <w:pStyle w:val="131"/>
            </w:pPr>
            <w:r>
              <w:rPr>
                <w:rFonts w:hint="eastAsia"/>
                <w:sz w:val="20"/>
                <w:szCs w:val="20"/>
              </w:rPr>
              <w:t>白音扎拉嘎</w:t>
            </w:r>
          </w:p>
        </w:tc>
        <w:tc>
          <w:tcPr>
            <w:tcW w:w="391" w:type="pct"/>
            <w:vAlign w:val="center"/>
          </w:tcPr>
          <w:p w14:paraId="5D32439E">
            <w:pPr>
              <w:pStyle w:val="131"/>
            </w:pPr>
            <w:r>
              <w:rPr>
                <w:rFonts w:hint="eastAsia"/>
              </w:rPr>
              <w:t>根河</w:t>
            </w:r>
          </w:p>
        </w:tc>
        <w:tc>
          <w:tcPr>
            <w:tcW w:w="625" w:type="pct"/>
            <w:vAlign w:val="center"/>
          </w:tcPr>
          <w:p w14:paraId="2EB36BFA">
            <w:pPr>
              <w:pStyle w:val="131"/>
            </w:pPr>
            <w:r>
              <w:t>120</w:t>
            </w:r>
          </w:p>
        </w:tc>
        <w:tc>
          <w:tcPr>
            <w:tcW w:w="469" w:type="pct"/>
            <w:vAlign w:val="center"/>
          </w:tcPr>
          <w:p w14:paraId="47B22AA1">
            <w:pPr>
              <w:pStyle w:val="131"/>
            </w:pPr>
            <w:r>
              <w:rPr>
                <w:rFonts w:hint="eastAsia"/>
              </w:rPr>
              <w:t>1.</w:t>
            </w:r>
            <w:r>
              <w:t>7</w:t>
            </w:r>
          </w:p>
        </w:tc>
        <w:tc>
          <w:tcPr>
            <w:tcW w:w="470" w:type="pct"/>
            <w:vAlign w:val="center"/>
          </w:tcPr>
          <w:p w14:paraId="2501DEB4">
            <w:pPr>
              <w:pStyle w:val="131"/>
            </w:pPr>
            <w:r>
              <w:rPr>
                <w:rFonts w:hint="eastAsia"/>
              </w:rPr>
              <w:t>上库力农场第二生产队</w:t>
            </w:r>
          </w:p>
        </w:tc>
        <w:tc>
          <w:tcPr>
            <w:tcW w:w="626" w:type="pct"/>
            <w:vAlign w:val="center"/>
          </w:tcPr>
          <w:p w14:paraId="71E3F400">
            <w:pPr>
              <w:pStyle w:val="131"/>
            </w:pPr>
            <w:r>
              <w:t>0.0653</w:t>
            </w:r>
          </w:p>
        </w:tc>
        <w:tc>
          <w:tcPr>
            <w:tcW w:w="626" w:type="pct"/>
            <w:vAlign w:val="center"/>
          </w:tcPr>
          <w:p w14:paraId="2EB8F20A">
            <w:pPr>
              <w:pStyle w:val="131"/>
            </w:pPr>
            <w:r>
              <w:t>8.04</w:t>
            </w:r>
          </w:p>
        </w:tc>
        <w:tc>
          <w:tcPr>
            <w:tcW w:w="469" w:type="pct"/>
            <w:vAlign w:val="center"/>
          </w:tcPr>
          <w:p w14:paraId="6B657FD5">
            <w:pPr>
              <w:pStyle w:val="131"/>
            </w:pPr>
            <w:r>
              <w:rPr>
                <w:rFonts w:hint="eastAsia"/>
              </w:rPr>
              <w:t>1</w:t>
            </w:r>
            <w:r>
              <w:t>0</w:t>
            </w:r>
            <w:r>
              <w:rPr>
                <w:rFonts w:hint="eastAsia"/>
              </w:rPr>
              <w:t>年</w:t>
            </w:r>
            <w:r>
              <w:t>一遇</w:t>
            </w:r>
          </w:p>
        </w:tc>
        <w:tc>
          <w:tcPr>
            <w:tcW w:w="622" w:type="pct"/>
            <w:vAlign w:val="center"/>
          </w:tcPr>
          <w:p w14:paraId="34B24B70">
            <w:pPr>
              <w:pStyle w:val="131"/>
            </w:pPr>
            <w:r>
              <w:rPr>
                <w:rFonts w:hint="eastAsia"/>
              </w:rPr>
              <w:t>新建撇洪沟1.7km</w:t>
            </w:r>
          </w:p>
        </w:tc>
      </w:tr>
      <w:tr w14:paraId="7A84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29BB4983">
            <w:pPr>
              <w:pStyle w:val="131"/>
            </w:pPr>
            <w:r>
              <w:rPr>
                <w:rFonts w:hint="eastAsia"/>
              </w:rPr>
              <w:t>12</w:t>
            </w:r>
          </w:p>
        </w:tc>
        <w:tc>
          <w:tcPr>
            <w:tcW w:w="469" w:type="pct"/>
            <w:vAlign w:val="center"/>
          </w:tcPr>
          <w:p w14:paraId="1A46528C">
            <w:pPr>
              <w:pStyle w:val="131"/>
            </w:pPr>
            <w:r>
              <w:rPr>
                <w:rFonts w:hint="eastAsia"/>
                <w:sz w:val="20"/>
                <w:szCs w:val="20"/>
              </w:rPr>
              <w:t>八卡河</w:t>
            </w:r>
          </w:p>
        </w:tc>
        <w:tc>
          <w:tcPr>
            <w:tcW w:w="391" w:type="pct"/>
            <w:vAlign w:val="center"/>
          </w:tcPr>
          <w:p w14:paraId="25A8BF45">
            <w:pPr>
              <w:pStyle w:val="131"/>
            </w:pPr>
            <w:r>
              <w:rPr>
                <w:rFonts w:hint="eastAsia"/>
              </w:rPr>
              <w:t>额尔古纳河</w:t>
            </w:r>
          </w:p>
        </w:tc>
        <w:tc>
          <w:tcPr>
            <w:tcW w:w="625" w:type="pct"/>
            <w:vAlign w:val="center"/>
          </w:tcPr>
          <w:p w14:paraId="600789C8">
            <w:pPr>
              <w:pStyle w:val="131"/>
            </w:pPr>
            <w:r>
              <w:t>104</w:t>
            </w:r>
          </w:p>
        </w:tc>
        <w:tc>
          <w:tcPr>
            <w:tcW w:w="469" w:type="pct"/>
            <w:vAlign w:val="center"/>
          </w:tcPr>
          <w:p w14:paraId="66C854E8">
            <w:pPr>
              <w:pStyle w:val="131"/>
            </w:pPr>
            <w:r>
              <w:rPr>
                <w:rFonts w:hint="eastAsia"/>
              </w:rPr>
              <w:t>0.9</w:t>
            </w:r>
          </w:p>
        </w:tc>
        <w:tc>
          <w:tcPr>
            <w:tcW w:w="470" w:type="pct"/>
            <w:vAlign w:val="center"/>
          </w:tcPr>
          <w:p w14:paraId="5B533C6B">
            <w:pPr>
              <w:pStyle w:val="131"/>
            </w:pPr>
            <w:r>
              <w:rPr>
                <w:rFonts w:hint="eastAsia"/>
              </w:rPr>
              <w:t>八卡</w:t>
            </w:r>
          </w:p>
        </w:tc>
        <w:tc>
          <w:tcPr>
            <w:tcW w:w="626" w:type="pct"/>
            <w:vAlign w:val="center"/>
          </w:tcPr>
          <w:p w14:paraId="642F07DE">
            <w:pPr>
              <w:pStyle w:val="131"/>
            </w:pPr>
            <w:r>
              <w:t>0.01</w:t>
            </w:r>
          </w:p>
        </w:tc>
        <w:tc>
          <w:tcPr>
            <w:tcW w:w="626" w:type="pct"/>
            <w:vAlign w:val="center"/>
          </w:tcPr>
          <w:p w14:paraId="579797EB">
            <w:pPr>
              <w:pStyle w:val="131"/>
            </w:pPr>
            <w:r>
              <w:t>16</w:t>
            </w:r>
          </w:p>
        </w:tc>
        <w:tc>
          <w:tcPr>
            <w:tcW w:w="469" w:type="pct"/>
            <w:vAlign w:val="center"/>
          </w:tcPr>
          <w:p w14:paraId="1F37E7F0">
            <w:pPr>
              <w:pStyle w:val="131"/>
            </w:pPr>
            <w:r>
              <w:rPr>
                <w:rFonts w:hint="eastAsia"/>
              </w:rPr>
              <w:t>1</w:t>
            </w:r>
            <w:r>
              <w:t>0</w:t>
            </w:r>
            <w:r>
              <w:rPr>
                <w:rFonts w:hint="eastAsia"/>
              </w:rPr>
              <w:t>年</w:t>
            </w:r>
            <w:r>
              <w:t>一遇</w:t>
            </w:r>
          </w:p>
        </w:tc>
        <w:tc>
          <w:tcPr>
            <w:tcW w:w="622" w:type="pct"/>
            <w:vAlign w:val="center"/>
          </w:tcPr>
          <w:p w14:paraId="093D7AEB">
            <w:pPr>
              <w:pStyle w:val="131"/>
            </w:pPr>
            <w:r>
              <w:rPr>
                <w:rFonts w:hint="eastAsia"/>
              </w:rPr>
              <w:t>对现有沟道进行护砌并清淤</w:t>
            </w:r>
          </w:p>
        </w:tc>
      </w:tr>
      <w:tr w14:paraId="7EB1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3CF6873A">
            <w:pPr>
              <w:pStyle w:val="131"/>
            </w:pPr>
            <w:r>
              <w:rPr>
                <w:rFonts w:hint="eastAsia"/>
              </w:rPr>
              <w:t>13</w:t>
            </w:r>
          </w:p>
        </w:tc>
        <w:tc>
          <w:tcPr>
            <w:tcW w:w="469" w:type="pct"/>
            <w:vAlign w:val="center"/>
          </w:tcPr>
          <w:p w14:paraId="3C5CBFAD">
            <w:pPr>
              <w:pStyle w:val="131"/>
            </w:pPr>
            <w:r>
              <w:rPr>
                <w:rFonts w:hint="eastAsia"/>
                <w:sz w:val="20"/>
                <w:szCs w:val="20"/>
              </w:rPr>
              <w:t>苏霍依奇鲁图沟</w:t>
            </w:r>
          </w:p>
        </w:tc>
        <w:tc>
          <w:tcPr>
            <w:tcW w:w="391" w:type="pct"/>
            <w:vAlign w:val="center"/>
          </w:tcPr>
          <w:p w14:paraId="43D425FD">
            <w:pPr>
              <w:pStyle w:val="131"/>
            </w:pPr>
            <w:r>
              <w:rPr>
                <w:rFonts w:hint="eastAsia"/>
              </w:rPr>
              <w:t>根河</w:t>
            </w:r>
          </w:p>
        </w:tc>
        <w:tc>
          <w:tcPr>
            <w:tcW w:w="625" w:type="pct"/>
            <w:vAlign w:val="center"/>
          </w:tcPr>
          <w:p w14:paraId="04ADBBBC">
            <w:pPr>
              <w:pStyle w:val="131"/>
            </w:pPr>
            <w:r>
              <w:t>99.4</w:t>
            </w:r>
          </w:p>
        </w:tc>
        <w:tc>
          <w:tcPr>
            <w:tcW w:w="469" w:type="pct"/>
            <w:vAlign w:val="center"/>
          </w:tcPr>
          <w:p w14:paraId="74E71068">
            <w:pPr>
              <w:pStyle w:val="131"/>
            </w:pPr>
            <w:r>
              <w:rPr>
                <w:rFonts w:hint="eastAsia"/>
              </w:rPr>
              <w:t>2.0</w:t>
            </w:r>
          </w:p>
        </w:tc>
        <w:tc>
          <w:tcPr>
            <w:tcW w:w="470" w:type="pct"/>
            <w:vAlign w:val="center"/>
          </w:tcPr>
          <w:p w14:paraId="34256D20">
            <w:pPr>
              <w:pStyle w:val="131"/>
            </w:pPr>
            <w:r>
              <w:rPr>
                <w:rFonts w:hint="eastAsia"/>
              </w:rPr>
              <w:t>楚鲁图村</w:t>
            </w:r>
          </w:p>
        </w:tc>
        <w:tc>
          <w:tcPr>
            <w:tcW w:w="626" w:type="pct"/>
            <w:vAlign w:val="center"/>
          </w:tcPr>
          <w:p w14:paraId="604BE85E">
            <w:pPr>
              <w:pStyle w:val="131"/>
            </w:pPr>
            <w:r>
              <w:t>0.0206</w:t>
            </w:r>
          </w:p>
        </w:tc>
        <w:tc>
          <w:tcPr>
            <w:tcW w:w="626" w:type="pct"/>
            <w:vAlign w:val="center"/>
          </w:tcPr>
          <w:p w14:paraId="47321F22">
            <w:pPr>
              <w:pStyle w:val="131"/>
            </w:pPr>
            <w:r>
              <w:t>3.2</w:t>
            </w:r>
          </w:p>
        </w:tc>
        <w:tc>
          <w:tcPr>
            <w:tcW w:w="469" w:type="pct"/>
            <w:vAlign w:val="center"/>
          </w:tcPr>
          <w:p w14:paraId="670D932F">
            <w:pPr>
              <w:pStyle w:val="131"/>
            </w:pPr>
            <w:r>
              <w:rPr>
                <w:rFonts w:hint="eastAsia"/>
              </w:rPr>
              <w:t>1</w:t>
            </w:r>
            <w:r>
              <w:t>0</w:t>
            </w:r>
            <w:r>
              <w:rPr>
                <w:rFonts w:hint="eastAsia"/>
              </w:rPr>
              <w:t>年</w:t>
            </w:r>
            <w:r>
              <w:t>一遇</w:t>
            </w:r>
          </w:p>
        </w:tc>
        <w:tc>
          <w:tcPr>
            <w:tcW w:w="622" w:type="pct"/>
            <w:vAlign w:val="center"/>
          </w:tcPr>
          <w:p w14:paraId="4CF4D909">
            <w:pPr>
              <w:pStyle w:val="131"/>
            </w:pPr>
            <w:r>
              <w:rPr>
                <w:rFonts w:hint="eastAsia"/>
              </w:rPr>
              <w:t>新建撇洪沟</w:t>
            </w:r>
            <w:r>
              <w:t>2.0</w:t>
            </w:r>
            <w:r>
              <w:rPr>
                <w:rFonts w:hint="eastAsia"/>
              </w:rPr>
              <w:t>km</w:t>
            </w:r>
          </w:p>
        </w:tc>
      </w:tr>
      <w:tr w14:paraId="0E436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2" w:type="pct"/>
            <w:vAlign w:val="center"/>
          </w:tcPr>
          <w:p w14:paraId="024A56F5">
            <w:pPr>
              <w:pStyle w:val="131"/>
            </w:pPr>
            <w:r>
              <w:rPr>
                <w:rFonts w:hint="eastAsia"/>
              </w:rPr>
              <w:t>14</w:t>
            </w:r>
          </w:p>
        </w:tc>
        <w:tc>
          <w:tcPr>
            <w:tcW w:w="469" w:type="pct"/>
            <w:vAlign w:val="center"/>
          </w:tcPr>
          <w:p w14:paraId="72BD88F5">
            <w:pPr>
              <w:pStyle w:val="131"/>
            </w:pPr>
            <w:r>
              <w:rPr>
                <w:rFonts w:hint="eastAsia"/>
                <w:sz w:val="20"/>
                <w:szCs w:val="20"/>
              </w:rPr>
              <w:t>上护林左河</w:t>
            </w:r>
          </w:p>
        </w:tc>
        <w:tc>
          <w:tcPr>
            <w:tcW w:w="391" w:type="pct"/>
            <w:vAlign w:val="center"/>
          </w:tcPr>
          <w:p w14:paraId="0A9A36FC">
            <w:pPr>
              <w:pStyle w:val="131"/>
            </w:pPr>
            <w:r>
              <w:rPr>
                <w:rFonts w:hint="eastAsia"/>
              </w:rPr>
              <w:t>得尔布干河</w:t>
            </w:r>
          </w:p>
        </w:tc>
        <w:tc>
          <w:tcPr>
            <w:tcW w:w="625" w:type="pct"/>
            <w:vAlign w:val="center"/>
          </w:tcPr>
          <w:p w14:paraId="18705C4D">
            <w:pPr>
              <w:pStyle w:val="131"/>
            </w:pPr>
            <w:r>
              <w:t>61.6</w:t>
            </w:r>
          </w:p>
        </w:tc>
        <w:tc>
          <w:tcPr>
            <w:tcW w:w="469" w:type="pct"/>
            <w:vAlign w:val="center"/>
          </w:tcPr>
          <w:p w14:paraId="62F07008">
            <w:pPr>
              <w:pStyle w:val="131"/>
            </w:pPr>
            <w:r>
              <w:rPr>
                <w:rFonts w:hint="eastAsia"/>
              </w:rPr>
              <w:t>2.</w:t>
            </w:r>
            <w:r>
              <w:t>4</w:t>
            </w:r>
          </w:p>
        </w:tc>
        <w:tc>
          <w:tcPr>
            <w:tcW w:w="470" w:type="pct"/>
            <w:vAlign w:val="center"/>
          </w:tcPr>
          <w:p w14:paraId="7D876105">
            <w:pPr>
              <w:pStyle w:val="131"/>
            </w:pPr>
            <w:r>
              <w:rPr>
                <w:rFonts w:hint="eastAsia"/>
              </w:rPr>
              <w:t>上护林</w:t>
            </w:r>
          </w:p>
        </w:tc>
        <w:tc>
          <w:tcPr>
            <w:tcW w:w="626" w:type="pct"/>
            <w:vAlign w:val="center"/>
          </w:tcPr>
          <w:p w14:paraId="68B84EB1">
            <w:pPr>
              <w:pStyle w:val="131"/>
            </w:pPr>
            <w:r>
              <w:t>0.0233</w:t>
            </w:r>
          </w:p>
        </w:tc>
        <w:tc>
          <w:tcPr>
            <w:tcW w:w="626" w:type="pct"/>
            <w:vAlign w:val="center"/>
          </w:tcPr>
          <w:p w14:paraId="789BA341">
            <w:pPr>
              <w:pStyle w:val="131"/>
            </w:pPr>
            <w:r>
              <w:t>3.8</w:t>
            </w:r>
          </w:p>
        </w:tc>
        <w:tc>
          <w:tcPr>
            <w:tcW w:w="469" w:type="pct"/>
            <w:vAlign w:val="center"/>
          </w:tcPr>
          <w:p w14:paraId="684F58D4">
            <w:pPr>
              <w:pStyle w:val="131"/>
            </w:pPr>
            <w:r>
              <w:rPr>
                <w:rFonts w:hint="eastAsia"/>
              </w:rPr>
              <w:t>1</w:t>
            </w:r>
            <w:r>
              <w:t>0</w:t>
            </w:r>
            <w:r>
              <w:rPr>
                <w:rFonts w:hint="eastAsia"/>
              </w:rPr>
              <w:t>年</w:t>
            </w:r>
            <w:r>
              <w:t>一遇</w:t>
            </w:r>
          </w:p>
        </w:tc>
        <w:tc>
          <w:tcPr>
            <w:tcW w:w="622" w:type="pct"/>
            <w:vAlign w:val="center"/>
          </w:tcPr>
          <w:p w14:paraId="695A74DF">
            <w:pPr>
              <w:pStyle w:val="131"/>
            </w:pPr>
            <w:r>
              <w:rPr>
                <w:rFonts w:hint="eastAsia"/>
              </w:rPr>
              <w:t>新建撇洪沟2.4km</w:t>
            </w:r>
          </w:p>
        </w:tc>
      </w:tr>
      <w:tr w14:paraId="513C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32" w:type="pct"/>
            <w:vAlign w:val="center"/>
          </w:tcPr>
          <w:p w14:paraId="17332E45">
            <w:pPr>
              <w:pStyle w:val="131"/>
            </w:pPr>
            <w:r>
              <w:rPr>
                <w:rFonts w:hint="eastAsia"/>
              </w:rPr>
              <w:t>15</w:t>
            </w:r>
          </w:p>
        </w:tc>
        <w:tc>
          <w:tcPr>
            <w:tcW w:w="469" w:type="pct"/>
            <w:vAlign w:val="center"/>
          </w:tcPr>
          <w:p w14:paraId="1CF0DD77">
            <w:pPr>
              <w:pStyle w:val="131"/>
              <w:rPr>
                <w:sz w:val="20"/>
                <w:szCs w:val="20"/>
              </w:rPr>
            </w:pPr>
            <w:r>
              <w:rPr>
                <w:rFonts w:hint="eastAsia"/>
                <w:sz w:val="20"/>
                <w:szCs w:val="20"/>
              </w:rPr>
              <w:t>那尔莫格其东沟</w:t>
            </w:r>
          </w:p>
        </w:tc>
        <w:tc>
          <w:tcPr>
            <w:tcW w:w="391" w:type="pct"/>
            <w:vAlign w:val="center"/>
          </w:tcPr>
          <w:p w14:paraId="1392AE10">
            <w:pPr>
              <w:pStyle w:val="131"/>
            </w:pPr>
            <w:r>
              <w:rPr>
                <w:rFonts w:hint="eastAsia"/>
              </w:rPr>
              <w:t>根河</w:t>
            </w:r>
          </w:p>
        </w:tc>
        <w:tc>
          <w:tcPr>
            <w:tcW w:w="625" w:type="pct"/>
            <w:vAlign w:val="center"/>
          </w:tcPr>
          <w:p w14:paraId="6B25A1F7">
            <w:pPr>
              <w:pStyle w:val="131"/>
            </w:pPr>
            <w:r>
              <w:t>51.1</w:t>
            </w:r>
          </w:p>
        </w:tc>
        <w:tc>
          <w:tcPr>
            <w:tcW w:w="469" w:type="pct"/>
            <w:vAlign w:val="center"/>
          </w:tcPr>
          <w:p w14:paraId="69E2E588">
            <w:pPr>
              <w:pStyle w:val="131"/>
            </w:pPr>
            <w:r>
              <w:rPr>
                <w:rFonts w:hint="eastAsia"/>
              </w:rPr>
              <w:t>1.0</w:t>
            </w:r>
          </w:p>
        </w:tc>
        <w:tc>
          <w:tcPr>
            <w:tcW w:w="470" w:type="pct"/>
            <w:vAlign w:val="center"/>
          </w:tcPr>
          <w:p w14:paraId="4902EBF9">
            <w:pPr>
              <w:pStyle w:val="131"/>
            </w:pPr>
            <w:r>
              <w:rPr>
                <w:rFonts w:hint="eastAsia"/>
              </w:rPr>
              <w:t>新力屯</w:t>
            </w:r>
          </w:p>
        </w:tc>
        <w:tc>
          <w:tcPr>
            <w:tcW w:w="626" w:type="pct"/>
            <w:vAlign w:val="center"/>
          </w:tcPr>
          <w:p w14:paraId="59C40315">
            <w:pPr>
              <w:pStyle w:val="131"/>
            </w:pPr>
            <w:r>
              <w:t>0.0318</w:t>
            </w:r>
          </w:p>
        </w:tc>
        <w:tc>
          <w:tcPr>
            <w:tcW w:w="626" w:type="pct"/>
            <w:vAlign w:val="center"/>
          </w:tcPr>
          <w:p w14:paraId="66586326">
            <w:pPr>
              <w:pStyle w:val="131"/>
            </w:pPr>
            <w:r>
              <w:t>15</w:t>
            </w:r>
          </w:p>
        </w:tc>
        <w:tc>
          <w:tcPr>
            <w:tcW w:w="469" w:type="pct"/>
            <w:vAlign w:val="center"/>
          </w:tcPr>
          <w:p w14:paraId="1C87FF1D">
            <w:pPr>
              <w:pStyle w:val="131"/>
            </w:pPr>
            <w:r>
              <w:rPr>
                <w:rFonts w:hint="eastAsia"/>
              </w:rPr>
              <w:t>1</w:t>
            </w:r>
            <w:r>
              <w:t>0</w:t>
            </w:r>
            <w:r>
              <w:rPr>
                <w:rFonts w:hint="eastAsia"/>
              </w:rPr>
              <w:t>年</w:t>
            </w:r>
            <w:r>
              <w:t>一遇</w:t>
            </w:r>
          </w:p>
        </w:tc>
        <w:tc>
          <w:tcPr>
            <w:tcW w:w="622" w:type="pct"/>
            <w:vAlign w:val="center"/>
          </w:tcPr>
          <w:p w14:paraId="292F2E27">
            <w:pPr>
              <w:pStyle w:val="131"/>
            </w:pPr>
            <w:r>
              <w:rPr>
                <w:rFonts w:hint="eastAsia"/>
              </w:rPr>
              <w:t>对现有沟道进行护砌并清淤</w:t>
            </w:r>
          </w:p>
        </w:tc>
      </w:tr>
    </w:tbl>
    <w:p w14:paraId="4FB007B7">
      <w:pPr>
        <w:pStyle w:val="82"/>
        <w:ind w:firstLine="648"/>
      </w:pPr>
      <w:r>
        <w:rPr>
          <w:rFonts w:hint="eastAsia"/>
        </w:rPr>
        <w:t>（2）完善非工程措施建设</w:t>
      </w:r>
    </w:p>
    <w:p w14:paraId="75C0B258">
      <w:pPr>
        <w:pStyle w:val="82"/>
        <w:ind w:firstLine="648"/>
      </w:pPr>
      <w:r>
        <w:t>进一步扩大非工程措施覆盖范围，实现山洪灾害监测预警手段由传统向大数据全面精准预警升级，全面建成覆盖全市的山洪灾害监测、预警、通信、调度等一体化管理平台。</w:t>
      </w:r>
    </w:p>
    <w:p w14:paraId="53B1209C">
      <w:pPr>
        <w:pStyle w:val="82"/>
        <w:ind w:firstLine="648"/>
      </w:pPr>
      <w:r>
        <w:rPr>
          <w:rFonts w:hint="eastAsia"/>
        </w:rPr>
        <w:t>完善拓展各级山洪灾害监测预警系统。通过市级平台延伸至乡镇级，配置监测预警信息访问终端设备和网络、视频会商系统设备，强化信息共享和综合应用，扩展监测预警的完备性和全面性，提高监测预警的精度和准确性。建设统一的数据库，同步共享实时降雨、水位和流量等监测数据以及市级平台生成的预警发布、响应等数据，开发部署数据管理系统，对监测预警数据及后台分析成果数据进行集约化和专业化处理。</w:t>
      </w:r>
    </w:p>
    <w:p w14:paraId="78CD9EBA">
      <w:pPr>
        <w:pStyle w:val="82"/>
        <w:ind w:firstLine="648"/>
      </w:pPr>
      <w:r>
        <w:rPr>
          <w:rFonts w:hint="eastAsia"/>
        </w:rPr>
        <w:t>加强山洪灾害监测预警设备建设。对无线预警广播机、简易雨量（报警）器等监测预警设施设备进行补充完善、提质升级，提高稳定性、可靠性和保障能力；在学校、旅游景区等人口密集地区重点配备监测预警设施设备，适当部署图像（视频）监测站点，并配备必要的预警信息接收终端，实现互联互通和信息共享，增强预警发布能力，扩大预警范围；针对部分监测设备通信保证率低、供电能力不足、设备老化或损毁问题，开展通信保障能力建设，增加卫星通信信道。</w:t>
      </w:r>
    </w:p>
    <w:p w14:paraId="357936A5">
      <w:pPr>
        <w:pStyle w:val="82"/>
        <w:ind w:firstLine="648"/>
      </w:pPr>
      <w:r>
        <w:rPr>
          <w:rFonts w:hint="eastAsia"/>
        </w:rPr>
        <w:t>全面开展群测群防和综合保障。群测群防是山洪灾害防御工作的重要内容，与专业监测预警系统相辅相成、互为补充，以形成“群专结合”的山洪灾害防御体系，将村级预案落实到人。充分利用报刊、广播、电视、板报、宣传栏、宣传单以及在人员较密集的场所、主要交通路口设立永久性警示牌等多种形式，进行山洪地质灾害防御知识宣传，普及防御知识。对零散居住在山洪高易发区的居民，主要采取避灾或躲灾等非工程措施。通过开展宣传、培训、演练工作，提高山丘区群众主动防灾避险意识和自救互救能力。编制各级防灾预案，明确临灾和灾后应急救护措施，配备能适应山丘区及乡村道路的应急检修车辆，随车配备专用检修工具、应急救援工具和必要的备品备件，保证应急抢修需要。</w:t>
      </w:r>
    </w:p>
    <w:p w14:paraId="5BAC91B9">
      <w:pPr>
        <w:pStyle w:val="82"/>
        <w:ind w:firstLine="648"/>
      </w:pPr>
      <w:r>
        <w:t>强化政策法规建设，加强执法力度。加强河道管理，严格禁止侵占行洪河道行为；加强山洪灾害防治区的土地开发利用规划与管理，防治区内的城镇、交通、厂矿及居民点等建设要考虑山洪灾害风险，控制或禁止人员、财产向山洪灾害重点防治区发展；加强对开发建设活动的管理，防止加剧或导致山洪灾害。此外，开展山洪灾害防治重点示范</w:t>
      </w:r>
      <w:r>
        <w:rPr>
          <w:rFonts w:hint="eastAsia"/>
        </w:rPr>
        <w:t>市</w:t>
      </w:r>
      <w:r>
        <w:t>建设，以及山洪灾害防治示范小流域建设，不断提高山洪灾害防御的科学化水平。</w:t>
      </w:r>
    </w:p>
    <w:p w14:paraId="1D41C94B">
      <w:pPr>
        <w:pStyle w:val="34"/>
      </w:pPr>
      <w:bookmarkStart w:id="45" w:name="_Toc216964753"/>
      <w:r>
        <w:rPr>
          <w:rFonts w:hint="eastAsia"/>
        </w:rPr>
        <w:t>（四）加强城市防洪排涝体系</w:t>
      </w:r>
      <w:r>
        <w:t>建设</w:t>
      </w:r>
      <w:bookmarkEnd w:id="45"/>
    </w:p>
    <w:p w14:paraId="4345FEF8">
      <w:pPr>
        <w:pStyle w:val="64"/>
        <w:ind w:firstLineChars="0"/>
      </w:pPr>
      <w:r>
        <w:rPr>
          <w:rFonts w:hint="eastAsia"/>
        </w:rPr>
        <w:t>1. 现状</w:t>
      </w:r>
      <w:r>
        <w:t>防洪</w:t>
      </w:r>
      <w:r>
        <w:rPr>
          <w:rFonts w:hint="eastAsia"/>
        </w:rPr>
        <w:t>排涝</w:t>
      </w:r>
      <w:r>
        <w:t>体系</w:t>
      </w:r>
    </w:p>
    <w:p w14:paraId="7B55AA0B">
      <w:pPr>
        <w:pStyle w:val="82"/>
        <w:ind w:firstLine="648"/>
      </w:pPr>
      <w:r>
        <w:rPr>
          <w:rFonts w:hint="eastAsia"/>
        </w:rPr>
        <w:t>（1）</w:t>
      </w:r>
      <w:r>
        <w:t>现状防洪体系</w:t>
      </w:r>
    </w:p>
    <w:p w14:paraId="1BA40320">
      <w:pPr>
        <w:pStyle w:val="82"/>
        <w:ind w:firstLine="648"/>
      </w:pPr>
      <w:r>
        <w:rPr>
          <w:rFonts w:hint="eastAsia"/>
        </w:rPr>
        <w:t>额尔古纳城区</w:t>
      </w:r>
      <w:r>
        <w:t>防洪安全主要</w:t>
      </w:r>
      <w:r>
        <w:rPr>
          <w:rFonts w:hint="eastAsia"/>
        </w:rPr>
        <w:t>受到</w:t>
      </w:r>
      <w:r>
        <w:t>根河</w:t>
      </w:r>
      <w:r>
        <w:rPr>
          <w:rFonts w:hint="eastAsia"/>
        </w:rPr>
        <w:t>、</w:t>
      </w:r>
      <w:r>
        <w:t>那尔莫格其沟</w:t>
      </w:r>
      <w:r>
        <w:rPr>
          <w:rFonts w:hint="eastAsia"/>
        </w:rPr>
        <w:t>及煤矿</w:t>
      </w:r>
      <w:r>
        <w:t>西沟山洪沟</w:t>
      </w:r>
      <w:r>
        <w:rPr>
          <w:rFonts w:hint="eastAsia"/>
        </w:rPr>
        <w:t>洪水</w:t>
      </w:r>
      <w:r>
        <w:t>威胁</w:t>
      </w:r>
      <w:r>
        <w:rPr>
          <w:rFonts w:hint="eastAsia"/>
        </w:rPr>
        <w:t>。</w:t>
      </w:r>
    </w:p>
    <w:p w14:paraId="50E5CCA4">
      <w:pPr>
        <w:pStyle w:val="82"/>
        <w:ind w:firstLine="648"/>
      </w:pPr>
      <w:r>
        <w:rPr>
          <w:rFonts w:hint="eastAsia"/>
        </w:rPr>
        <w:t>根河是</w:t>
      </w:r>
      <w:r>
        <w:t>额尔古纳河一级支流，</w:t>
      </w:r>
      <w:r>
        <w:rPr>
          <w:rFonts w:hint="eastAsia"/>
        </w:rPr>
        <w:t>额尔古纳城区</w:t>
      </w:r>
      <w:r>
        <w:t>位于根河左岸，</w:t>
      </w:r>
      <w:r>
        <w:rPr>
          <w:rFonts w:hint="eastAsia"/>
        </w:rPr>
        <w:t>根河</w:t>
      </w:r>
      <w:r>
        <w:t>额尔古纳城区段</w:t>
      </w:r>
      <w:r>
        <w:rPr>
          <w:rFonts w:hint="eastAsia"/>
        </w:rPr>
        <w:t>应急</w:t>
      </w:r>
      <w:r>
        <w:t>防洪工程于</w:t>
      </w:r>
      <w:r>
        <w:rPr>
          <w:rFonts w:hint="eastAsia"/>
        </w:rPr>
        <w:t>2</w:t>
      </w:r>
      <w:r>
        <w:t>01</w:t>
      </w:r>
      <w:r>
        <w:rPr>
          <w:rFonts w:hint="eastAsia"/>
        </w:rPr>
        <w:t>4年10月</w:t>
      </w:r>
      <w:r>
        <w:t>完工，设计</w:t>
      </w:r>
      <w:r>
        <w:rPr>
          <w:rFonts w:hint="eastAsia"/>
        </w:rPr>
        <w:t>洪水</w:t>
      </w:r>
      <w:r>
        <w:t>标准为</w:t>
      </w:r>
      <w:r>
        <w:rPr>
          <w:rFonts w:hint="eastAsia"/>
        </w:rPr>
        <w:t>50年</w:t>
      </w:r>
      <w:r>
        <w:t>一遇，堤防工程级别为</w:t>
      </w:r>
      <w:r>
        <w:rPr>
          <w:rFonts w:hint="eastAsia"/>
        </w:rPr>
        <w:t>2级</w:t>
      </w:r>
      <w:r>
        <w:t>，</w:t>
      </w:r>
      <w:r>
        <w:rPr>
          <w:rFonts w:hint="eastAsia"/>
        </w:rPr>
        <w:t>堤防</w:t>
      </w:r>
      <w:r>
        <w:t>工程长度</w:t>
      </w:r>
      <w:r>
        <w:rPr>
          <w:rFonts w:hint="eastAsia"/>
        </w:rPr>
        <w:t>2.47km，目前城区</w:t>
      </w:r>
      <w:r>
        <w:t>段堤防已</w:t>
      </w:r>
      <w:r>
        <w:rPr>
          <w:rFonts w:hint="eastAsia"/>
        </w:rPr>
        <w:t>达标</w:t>
      </w:r>
      <w:r>
        <w:t>。</w:t>
      </w:r>
    </w:p>
    <w:p w14:paraId="2554A7D9">
      <w:pPr>
        <w:pStyle w:val="82"/>
        <w:ind w:firstLine="648"/>
      </w:pPr>
      <w:r>
        <w:t>那尔莫格其河</w:t>
      </w:r>
      <w:r>
        <w:rPr>
          <w:rFonts w:hint="eastAsia"/>
        </w:rPr>
        <w:t>是根河</w:t>
      </w:r>
      <w:r>
        <w:t>一级支流</w:t>
      </w:r>
      <w:r>
        <w:rPr>
          <w:rFonts w:hint="eastAsia"/>
        </w:rPr>
        <w:t>，发源于额尔古纳市东南部，</w:t>
      </w:r>
      <w:r>
        <w:t>流经拉布大林街道，</w:t>
      </w:r>
      <w:r>
        <w:rPr>
          <w:rFonts w:hint="eastAsia"/>
        </w:rPr>
        <w:t>该河全流域面积537km</w:t>
      </w:r>
      <w:r>
        <w:rPr>
          <w:rFonts w:hint="eastAsia"/>
          <w:vertAlign w:val="superscript"/>
        </w:rPr>
        <w:t>2</w:t>
      </w:r>
      <w:r>
        <w:rPr>
          <w:rFonts w:hint="eastAsia"/>
        </w:rPr>
        <w:t>，河长47.1km，河道平均比降1/350，历史上</w:t>
      </w:r>
      <w:r>
        <w:t>洪水经常出槽，威胁两岸居民安全，</w:t>
      </w:r>
      <w:r>
        <w:rPr>
          <w:rFonts w:hint="eastAsia"/>
        </w:rPr>
        <w:t>2021年对那尔莫</w:t>
      </w:r>
      <w:r>
        <w:t>格其河拉布大林</w:t>
      </w:r>
      <w:r>
        <w:rPr>
          <w:rFonts w:hint="eastAsia"/>
        </w:rPr>
        <w:t>街道段进行了</w:t>
      </w:r>
      <w:r>
        <w:t>治理，工程治理</w:t>
      </w:r>
      <w:r>
        <w:rPr>
          <w:rFonts w:hint="eastAsia"/>
        </w:rPr>
        <w:t>河长</w:t>
      </w:r>
      <w:r>
        <w:t>4.88km，</w:t>
      </w:r>
      <w:r>
        <w:rPr>
          <w:rFonts w:hint="eastAsia"/>
        </w:rPr>
        <w:t>主要工程任务</w:t>
      </w:r>
      <w:r>
        <w:t>为</w:t>
      </w:r>
      <w:r>
        <w:rPr>
          <w:rFonts w:hint="eastAsia"/>
        </w:rPr>
        <w:t>堤防</w:t>
      </w:r>
      <w:r>
        <w:t>建设</w:t>
      </w:r>
      <w:r>
        <w:rPr>
          <w:rFonts w:hint="eastAsia"/>
        </w:rPr>
        <w:t>，同时修建一座排涝水闸，设计防洪堤总长为</w:t>
      </w:r>
      <w:r>
        <w:t>6.45km</w:t>
      </w:r>
      <w:r>
        <w:rPr>
          <w:rFonts w:hint="eastAsia"/>
        </w:rPr>
        <w:t>，防洪标准为2</w:t>
      </w:r>
      <w:r>
        <w:t>0</w:t>
      </w:r>
      <w:r>
        <w:rPr>
          <w:rFonts w:hint="eastAsia"/>
        </w:rPr>
        <w:t>年一遇，其中S201国道桥上游右岸防洪堤长1.83km，S201国道桥下游左岸防洪堤长1.47km，S301国道桥下游至汇入根河口两岸防洪堤总长</w:t>
      </w:r>
      <w:r>
        <w:t>3.15</w:t>
      </w:r>
      <w:r>
        <w:rPr>
          <w:rFonts w:hint="eastAsia"/>
        </w:rPr>
        <w:t>km。由于</w:t>
      </w:r>
      <w:r>
        <w:t>两岸防洪工程不连续，那尔莫格其沟</w:t>
      </w:r>
      <w:r>
        <w:rPr>
          <w:rFonts w:hint="eastAsia"/>
        </w:rPr>
        <w:t>尚未</w:t>
      </w:r>
      <w:r>
        <w:t>形成完整的</w:t>
      </w:r>
      <w:r>
        <w:rPr>
          <w:rFonts w:hint="eastAsia"/>
        </w:rPr>
        <w:t>工程</w:t>
      </w:r>
      <w:r>
        <w:t>体系，</w:t>
      </w:r>
      <w:r>
        <w:rPr>
          <w:rFonts w:hint="eastAsia"/>
        </w:rPr>
        <w:t>部分河段存在</w:t>
      </w:r>
      <w:r>
        <w:t>防洪薄弱环节</w:t>
      </w:r>
      <w:r>
        <w:rPr>
          <w:rFonts w:hint="eastAsia"/>
        </w:rPr>
        <w:t>。</w:t>
      </w:r>
    </w:p>
    <w:p w14:paraId="41DA7060">
      <w:pPr>
        <w:pStyle w:val="82"/>
        <w:ind w:firstLine="648"/>
      </w:pPr>
      <w:r>
        <w:rPr>
          <w:rFonts w:hint="eastAsia"/>
        </w:rPr>
        <w:t>煤矿</w:t>
      </w:r>
      <w:r>
        <w:t>西沟流经额尔古纳城区，</w:t>
      </w:r>
      <w:r>
        <w:rPr>
          <w:rFonts w:hint="eastAsia"/>
        </w:rPr>
        <w:t>汛期</w:t>
      </w:r>
      <w:r>
        <w:t>山洪直</w:t>
      </w:r>
      <w:r>
        <w:rPr>
          <w:rFonts w:hint="eastAsia"/>
        </w:rPr>
        <w:t>入</w:t>
      </w:r>
      <w:r>
        <w:t>城区，对城区</w:t>
      </w:r>
      <w:r>
        <w:rPr>
          <w:rFonts w:hint="eastAsia"/>
        </w:rPr>
        <w:t>防洪</w:t>
      </w:r>
      <w:r>
        <w:t>安全构成威胁</w:t>
      </w:r>
      <w:r>
        <w:rPr>
          <w:rFonts w:hint="eastAsia"/>
        </w:rPr>
        <w:t>。</w:t>
      </w:r>
    </w:p>
    <w:p w14:paraId="66B39CB9">
      <w:pPr>
        <w:pStyle w:val="82"/>
        <w:ind w:firstLine="648"/>
      </w:pPr>
      <w:r>
        <w:rPr>
          <w:rFonts w:hint="eastAsia"/>
        </w:rPr>
        <w:t>（2）</w:t>
      </w:r>
      <w:r>
        <w:t>现状排涝体系</w:t>
      </w:r>
    </w:p>
    <w:p w14:paraId="186E7DE2">
      <w:pPr>
        <w:pStyle w:val="82"/>
        <w:ind w:firstLine="648"/>
      </w:pPr>
      <w:r>
        <w:rPr>
          <w:rFonts w:hint="eastAsia"/>
        </w:rPr>
        <w:t>额尔古纳市区现有两条主要</w:t>
      </w:r>
      <w:r>
        <w:t>排涝</w:t>
      </w:r>
      <w:r>
        <w:rPr>
          <w:rFonts w:hint="eastAsia"/>
        </w:rPr>
        <w:t>渠道，建有一座排涝泵站，承担</w:t>
      </w:r>
      <w:r>
        <w:t>城区</w:t>
      </w:r>
      <w:r>
        <w:rPr>
          <w:rFonts w:hint="eastAsia"/>
        </w:rPr>
        <w:t>主要排涝任务。</w:t>
      </w:r>
    </w:p>
    <w:p w14:paraId="43E8FAA7">
      <w:pPr>
        <w:pStyle w:val="64"/>
      </w:pPr>
      <w:r>
        <w:rPr>
          <w:rFonts w:hint="eastAsia"/>
        </w:rPr>
        <w:t>2. 完善城市防洪排涝体系</w:t>
      </w:r>
    </w:p>
    <w:p w14:paraId="54D5E969">
      <w:pPr>
        <w:pStyle w:val="82"/>
        <w:ind w:firstLine="648"/>
      </w:pPr>
      <w:r>
        <w:rPr>
          <w:rFonts w:hint="eastAsia"/>
        </w:rPr>
        <w:t>规划</w:t>
      </w:r>
      <w:r>
        <w:t>对那尔莫格其沟</w:t>
      </w:r>
      <w:r>
        <w:rPr>
          <w:rFonts w:hint="eastAsia"/>
        </w:rPr>
        <w:t>奶牛场养殖点、葫芦头屯段、</w:t>
      </w:r>
      <w:r>
        <w:t>工业区段</w:t>
      </w:r>
      <w:r>
        <w:rPr>
          <w:rFonts w:hint="eastAsia"/>
        </w:rPr>
        <w:t>和</w:t>
      </w:r>
      <w:r>
        <w:t>城区段进行治理，</w:t>
      </w:r>
      <w:r>
        <w:rPr>
          <w:rFonts w:hint="eastAsia"/>
        </w:rPr>
        <w:t>建设内容主要包括新建</w:t>
      </w:r>
      <w:r>
        <w:t>堤防</w:t>
      </w:r>
      <w:r>
        <w:rPr>
          <w:rFonts w:hint="eastAsia"/>
        </w:rPr>
        <w:t>8.37</w:t>
      </w:r>
      <w:r>
        <w:t>km，对城区</w:t>
      </w:r>
      <w:r>
        <w:rPr>
          <w:rFonts w:hint="eastAsia"/>
        </w:rPr>
        <w:t>下游段</w:t>
      </w:r>
      <w:r>
        <w:t>修建防洪墙</w:t>
      </w:r>
      <w:r>
        <w:rPr>
          <w:rFonts w:hint="eastAsia"/>
        </w:rPr>
        <w:t>2.2km。</w:t>
      </w:r>
    </w:p>
    <w:p w14:paraId="2C418746">
      <w:pPr>
        <w:pStyle w:val="82"/>
        <w:ind w:firstLine="648"/>
      </w:pPr>
      <w:r>
        <w:rPr>
          <w:rFonts w:hint="eastAsia"/>
        </w:rPr>
        <w:t>规划对煤矿</w:t>
      </w:r>
      <w:r>
        <w:t>西沟</w:t>
      </w:r>
      <w:r>
        <w:rPr>
          <w:rFonts w:hint="eastAsia"/>
        </w:rPr>
        <w:t>城区段进行</w:t>
      </w:r>
      <w:r>
        <w:t>护砌并</w:t>
      </w:r>
      <w:r>
        <w:rPr>
          <w:rFonts w:hint="eastAsia"/>
        </w:rPr>
        <w:t>进行</w:t>
      </w:r>
      <w:r>
        <w:t>清淤，治理长度</w:t>
      </w:r>
      <w:r>
        <w:rPr>
          <w:rFonts w:hint="eastAsia"/>
        </w:rPr>
        <w:t>4.3</w:t>
      </w:r>
      <w:r>
        <w:t>km</w:t>
      </w:r>
      <w:r>
        <w:rPr>
          <w:rFonts w:hint="eastAsia"/>
        </w:rPr>
        <w:t>。对排涝</w:t>
      </w:r>
      <w:r>
        <w:t>渠道</w:t>
      </w:r>
      <w:r>
        <w:rPr>
          <w:rFonts w:hint="eastAsia"/>
        </w:rPr>
        <w:t>新建护岸1</w:t>
      </w:r>
      <w:r>
        <w:t>0</w:t>
      </w:r>
      <w:r>
        <w:rPr>
          <w:rFonts w:hint="eastAsia"/>
        </w:rPr>
        <w:t>km，新建排涝泵站4座。</w:t>
      </w:r>
    </w:p>
    <w:p w14:paraId="0ACB7D7A">
      <w:pPr>
        <w:pStyle w:val="34"/>
      </w:pPr>
      <w:r>
        <w:fldChar w:fldCharType="begin"/>
      </w:r>
      <w:r>
        <w:instrText xml:space="preserve"> HYPERLINK \l "_Toc123897331" </w:instrText>
      </w:r>
      <w:r>
        <w:fldChar w:fldCharType="separate"/>
      </w:r>
      <w:bookmarkStart w:id="46" w:name="_Toc177657875"/>
      <w:bookmarkStart w:id="47" w:name="_Toc216964754"/>
      <w:r>
        <w:rPr>
          <w:rFonts w:hint="eastAsia"/>
        </w:rPr>
        <w:t>（五）</w:t>
      </w:r>
      <w:r>
        <w:rPr>
          <w:rFonts w:hint="eastAsia"/>
        </w:rPr>
        <w:fldChar w:fldCharType="end"/>
      </w:r>
      <w:r>
        <w:fldChar w:fldCharType="begin"/>
      </w:r>
      <w:r>
        <w:instrText xml:space="preserve"> HYPERLINK \l "_Toc123897333" </w:instrText>
      </w:r>
      <w:r>
        <w:fldChar w:fldCharType="separate"/>
      </w:r>
      <w:r>
        <w:rPr>
          <w:rFonts w:hint="eastAsia"/>
        </w:rPr>
        <w:t>提高洪水风险防控能力</w:t>
      </w:r>
      <w:bookmarkEnd w:id="46"/>
      <w:bookmarkEnd w:id="47"/>
      <w:r>
        <w:rPr>
          <w:rFonts w:hint="eastAsia"/>
        </w:rPr>
        <w:fldChar w:fldCharType="end"/>
      </w:r>
    </w:p>
    <w:p w14:paraId="7E6C73FD">
      <w:pPr>
        <w:pStyle w:val="64"/>
      </w:pPr>
      <w:r>
        <w:rPr>
          <w:rFonts w:hint="eastAsia"/>
        </w:rPr>
        <w:t>1. 洪水</w:t>
      </w:r>
      <w:r>
        <w:t>调度管理</w:t>
      </w:r>
    </w:p>
    <w:p w14:paraId="2333E1B0">
      <w:pPr>
        <w:pStyle w:val="82"/>
        <w:ind w:firstLine="648"/>
      </w:pPr>
      <w:r>
        <w:rPr>
          <w:rFonts w:hint="eastAsia"/>
        </w:rPr>
        <w:t>洪水调度是保障防洪安全的重要手段，要构建自动化防洪调度平台，结合市级</w:t>
      </w:r>
      <w:r>
        <w:t>平台</w:t>
      </w:r>
      <w:r>
        <w:rPr>
          <w:rFonts w:hint="eastAsia"/>
        </w:rPr>
        <w:t>同步共享实时降雨、水位和流量等监测数据以及市级平台生成的预警发布、响应等数据，最大程度地发挥河道行洪和堤防防洪作用，保障设防标准内各片防护区的安全。编制根河、</w:t>
      </w:r>
      <w:r>
        <w:t>得尔布干河</w:t>
      </w:r>
      <w:r>
        <w:rPr>
          <w:rFonts w:hint="eastAsia"/>
        </w:rPr>
        <w:t>等河道的防汛应急预案和超标准洪水应急预案，使骨干河道的洪水调度有法可依，有章可循。</w:t>
      </w:r>
    </w:p>
    <w:p w14:paraId="48C649F4">
      <w:pPr>
        <w:pStyle w:val="64"/>
      </w:pPr>
      <w:r>
        <w:rPr>
          <w:rFonts w:hint="eastAsia"/>
        </w:rPr>
        <w:t>2. 超标准</w:t>
      </w:r>
      <w:r>
        <w:t>洪水</w:t>
      </w:r>
      <w:r>
        <w:rPr>
          <w:rFonts w:hint="eastAsia"/>
        </w:rPr>
        <w:t>防御措施</w:t>
      </w:r>
    </w:p>
    <w:p w14:paraId="3F4E06B7">
      <w:pPr>
        <w:pStyle w:val="82"/>
        <w:ind w:firstLine="648"/>
      </w:pPr>
      <w:r>
        <w:rPr>
          <w:rFonts w:hint="eastAsia"/>
        </w:rPr>
        <w:t>按照分区分级处置、综合应急处置的思路，加强额尔古纳市中心城区超标准洪水防范化解预案制定，制定不同洪水风险区域居民避洪安置方案，积极稳妥推进居民迁建，加强防汛抢险装备、防汛仓库、工程运维抢护队伍等能力建设和技术研发。建立健全跨部门、跨区域协调机制，明确主要负责人和各部门在防洪安全中的主要职责；</w:t>
      </w:r>
      <w:bookmarkStart w:id="48" w:name="_Hlk205446741"/>
      <w:r>
        <w:rPr>
          <w:rFonts w:hint="eastAsia"/>
        </w:rPr>
        <w:t>完善信息沟通与通报、</w:t>
      </w:r>
      <w:bookmarkEnd w:id="48"/>
      <w:r>
        <w:rPr>
          <w:rFonts w:hint="eastAsia"/>
        </w:rPr>
        <w:t>跨部门应急会商制度、联合巡逻执法等联防联控长效机制，提高风险联合防控成效；建立健全各类风险信息发布分级负责制，明确信息的发布形式，及时发布需要公众配合采取的措施与公众防范常识，引导群众科学自救与互救，提高风险事件应对处置效率。</w:t>
      </w:r>
    </w:p>
    <w:p w14:paraId="780327FA">
      <w:pPr>
        <w:pStyle w:val="82"/>
        <w:ind w:firstLine="648"/>
      </w:pPr>
      <w:r>
        <w:t>发生超标准洪水时，</w:t>
      </w:r>
      <w:r>
        <w:rPr>
          <w:rFonts w:hint="eastAsia"/>
        </w:rPr>
        <w:t>应</w:t>
      </w:r>
      <w:r>
        <w:t>统一调度，合理安排，确保重点。充分挖掘河道的泄洪潜力，利用堤防超高强迫行洪，</w:t>
      </w:r>
      <w:r>
        <w:rPr>
          <w:rFonts w:hint="eastAsia"/>
        </w:rPr>
        <w:t>根据</w:t>
      </w:r>
      <w:r>
        <w:t>洪水预报对险工险段进行应急处理，确保城镇人民群众生命财产安全。当大堤面临溃堤或漫溢风险时，应进行堤防抢护，</w:t>
      </w:r>
      <w:r>
        <w:rPr>
          <w:rFonts w:hint="eastAsia"/>
        </w:rPr>
        <w:t>及时</w:t>
      </w:r>
      <w:r>
        <w:t>对群众进行疏散转移，尽最大可能减轻洪涝灾害损失。</w:t>
      </w:r>
    </w:p>
    <w:p w14:paraId="54B158D2">
      <w:pPr>
        <w:pStyle w:val="82"/>
        <w:ind w:firstLine="648"/>
      </w:pPr>
      <w:r>
        <w:rPr>
          <w:rFonts w:hint="eastAsia"/>
        </w:rPr>
        <w:t>逐步建设与全方位推进高质量发展相适应的较为完善的非工程现代化防洪减灾体系，结合“四预”平台，不断强化城区及各乡镇的防洪智慧化水平及超标准洪水四预能力，最大程度保障人民群众生命安全，减少损失。确保河道在发生标准内洪水时防洪工程体系可以有效运用，流域内经济活动和社会活动基本不受影响；发生超标准洪水时，有防御预案和切实措施，减轻洪水灾害风险，最大程度降低洪涝损失。</w:t>
      </w:r>
    </w:p>
    <w:p w14:paraId="617625E6">
      <w:pPr>
        <w:pStyle w:val="82"/>
        <w:ind w:firstLine="648"/>
      </w:pPr>
      <w:r>
        <w:rPr>
          <w:rFonts w:hint="eastAsia"/>
        </w:rPr>
        <w:t>建议未来城市规划、农田发展合理确定范围及规模，充分考虑防洪安全及抵御超标准洪水的需求。针对因过度发展挤占天然河道，导致行洪河道缩窄、阻断、甚至消失，河道行洪能力不足，进而阻断洪水出路的问题，着重考虑城市超标准洪水出路安排，通过关键调蓄工程清淤、骨干行洪河道整治、天然行洪河道恢复重建等工程措施，打通超标准洪水出路。</w:t>
      </w:r>
    </w:p>
    <w:p w14:paraId="4566C802">
      <w:pPr>
        <w:pStyle w:val="82"/>
        <w:ind w:firstLine="648"/>
      </w:pPr>
    </w:p>
    <w:p w14:paraId="0A995AFD">
      <w:pPr>
        <w:pStyle w:val="33"/>
        <w:rPr>
          <w:rFonts w:hint="eastAsia"/>
        </w:rPr>
      </w:pPr>
      <w:r>
        <w:br w:type="page"/>
      </w:r>
    </w:p>
    <w:p w14:paraId="45BEBCA8">
      <w:pPr>
        <w:pStyle w:val="208"/>
        <w:rPr>
          <w:rFonts w:hint="eastAsia"/>
        </w:rPr>
      </w:pPr>
      <w:bookmarkStart w:id="49" w:name="_Toc216964755"/>
      <w:r>
        <w:rPr>
          <w:rFonts w:hint="eastAsia"/>
        </w:rPr>
        <w:t>四、构建城乡供水网</w:t>
      </w:r>
      <w:bookmarkEnd w:id="49"/>
    </w:p>
    <w:p w14:paraId="0B02C224">
      <w:pPr>
        <w:pStyle w:val="34"/>
      </w:pPr>
      <w:bookmarkStart w:id="50" w:name="_Toc216964756"/>
      <w:r>
        <w:rPr>
          <w:rFonts w:hint="eastAsia"/>
        </w:rPr>
        <w:t>（一）建设思路</w:t>
      </w:r>
      <w:bookmarkEnd w:id="50"/>
    </w:p>
    <w:p w14:paraId="4FD05F77">
      <w:pPr>
        <w:pStyle w:val="82"/>
        <w:ind w:firstLine="648"/>
      </w:pPr>
      <w:r>
        <w:rPr>
          <w:rFonts w:hint="eastAsia"/>
        </w:rPr>
        <w:t>立足额尔古纳市水资源条件、社会发展和人口分布，坚持“四水四定”原则，围绕“水量保障、水质优良、调控有力、应急有备”的总目标，按照“丰源密网强储备”的总体要求，在推进各行业深度节水前提下，按照 “适度开发地表水、保护利用地下水、加大利用再生水”的思路，持续优化水资源配置方案。有效衔接自治区和呼伦贝尔市水网骨干输水通道，依托调蓄池、泵站等地表水源建设，储备水库2座，</w:t>
      </w:r>
      <w:r>
        <w:rPr>
          <w:rFonts w:hint="eastAsia"/>
          <w:szCs w:val="30"/>
        </w:rPr>
        <w:t>加快完善水源体系、供水体系，</w:t>
      </w:r>
      <w:r>
        <w:rPr>
          <w:rFonts w:hint="eastAsia"/>
        </w:rPr>
        <w:t>全面构建“多源共济、联动共保、城乡统筹、留有储备”的城乡供水网，保障额尔古纳市供水安全。</w:t>
      </w:r>
    </w:p>
    <w:p w14:paraId="67344A2B">
      <w:pPr>
        <w:pStyle w:val="82"/>
        <w:ind w:firstLine="648"/>
      </w:pPr>
      <w:r>
        <w:rPr>
          <w:rFonts w:hint="eastAsia"/>
        </w:rPr>
        <w:t>深入贯彻党的二十大关于到2035年基本公共服务实现均等化、农村基本具备现代生活条件的部署，按照《水利部关于加快推动农村供水高质量发展的指导意见》（水农〔2023〕283号）要求，坚持问题导向、因地制宜、分类施策，全面推行农村供水“3+1”标准化建设和管护模式，合理布局城乡饮用水水源，完善城乡供水基础设施体系，实施县域统管专业化管护全覆盖，稳步推进农村供水高质量发展，实现农村供水现代化目标。</w:t>
      </w:r>
      <w:r>
        <w:t xml:space="preserve"> </w:t>
      </w:r>
    </w:p>
    <w:p w14:paraId="376472D4">
      <w:pPr>
        <w:pStyle w:val="34"/>
      </w:pPr>
      <w:bookmarkStart w:id="51" w:name="_Toc216964757"/>
      <w:r>
        <w:rPr>
          <w:rFonts w:hint="eastAsia"/>
        </w:rPr>
        <w:t>（二）水资源供需分析与配置方案</w:t>
      </w:r>
      <w:bookmarkEnd w:id="51"/>
    </w:p>
    <w:p w14:paraId="48449829">
      <w:pPr>
        <w:pStyle w:val="64"/>
      </w:pPr>
      <w:r>
        <w:rPr>
          <w:rFonts w:hint="eastAsia"/>
        </w:rPr>
        <w:t>1. 水资源节约集约利用</w:t>
      </w:r>
    </w:p>
    <w:p w14:paraId="312C163A">
      <w:pPr>
        <w:pStyle w:val="82"/>
        <w:ind w:firstLine="651"/>
        <w:rPr>
          <w:b/>
          <w:bCs/>
        </w:rPr>
      </w:pPr>
      <w:bookmarkStart w:id="52" w:name="_Toc150762209"/>
      <w:bookmarkStart w:id="53" w:name="_Toc149582893"/>
      <w:bookmarkStart w:id="54" w:name="_Toc175063463"/>
      <w:bookmarkStart w:id="55" w:name="_Toc151640418"/>
      <w:bookmarkStart w:id="56" w:name="_Toc151651299"/>
      <w:r>
        <w:rPr>
          <w:rFonts w:hint="eastAsia"/>
          <w:b/>
          <w:bCs/>
        </w:rPr>
        <w:t>（1）</w:t>
      </w:r>
      <w:bookmarkEnd w:id="52"/>
      <w:bookmarkEnd w:id="53"/>
      <w:bookmarkEnd w:id="54"/>
      <w:bookmarkEnd w:id="55"/>
      <w:bookmarkEnd w:id="56"/>
      <w:r>
        <w:rPr>
          <w:rFonts w:hint="eastAsia"/>
          <w:b/>
          <w:bCs/>
        </w:rPr>
        <w:t>节水潜力预测</w:t>
      </w:r>
    </w:p>
    <w:p w14:paraId="4156442F">
      <w:pPr>
        <w:pStyle w:val="82"/>
        <w:ind w:firstLine="648" w:firstLineChars="0"/>
      </w:pPr>
      <w:r>
        <w:rPr>
          <w:rFonts w:hint="eastAsia"/>
        </w:rPr>
        <w:t>节水潜力是以各部门和各行业（或作物）通过综合节水措施所达到的节水指标为参照标准，分析现状用水水平与节水指标的差值，并根据现状发展的实物量指标计算可能最大的节水数量，估算节水潜力，按照用水户分为生活节水潜力、工业节水潜力和农业节水潜力，预计总节水潜力约178.7万m</w:t>
      </w:r>
      <w:r>
        <w:rPr>
          <w:rFonts w:hint="eastAsia"/>
          <w:vertAlign w:val="superscript"/>
        </w:rPr>
        <w:t>3</w:t>
      </w:r>
      <w:r>
        <w:rPr>
          <w:rFonts w:hint="eastAsia"/>
        </w:rPr>
        <w:t>。</w:t>
      </w:r>
    </w:p>
    <w:p w14:paraId="0F29F615">
      <w:pPr>
        <w:pStyle w:val="82"/>
        <w:ind w:firstLine="648" w:firstLineChars="0"/>
      </w:pPr>
      <w:r>
        <w:rPr>
          <w:rFonts w:hint="eastAsia"/>
          <w:b/>
          <w:bCs/>
        </w:rPr>
        <w:t>生活节水潜力。</w:t>
      </w:r>
      <w:r>
        <w:rPr>
          <w:rFonts w:hint="eastAsia"/>
        </w:rPr>
        <w:t>随着额尔古纳市人民生活水平提高，城镇居民生活和第三产业用水定额呈现增加趋势，通过节水工程措施如新建、改造、更新供水管网等的实施能够有效地降低管网漏损率，从而减少城镇用水量的增加。现状年额尔古纳市供水管网漏损率为9.57%，规划水平年管网漏损率降低到9%，节约水量约1.1万m</w:t>
      </w:r>
      <w:r>
        <w:rPr>
          <w:rFonts w:hint="eastAsia"/>
          <w:vertAlign w:val="superscript"/>
        </w:rPr>
        <w:t>3</w:t>
      </w:r>
      <w:r>
        <w:rPr>
          <w:rFonts w:hint="eastAsia"/>
        </w:rPr>
        <w:t>。</w:t>
      </w:r>
    </w:p>
    <w:p w14:paraId="66184AE7">
      <w:pPr>
        <w:pStyle w:val="82"/>
        <w:ind w:firstLine="651"/>
      </w:pPr>
      <w:r>
        <w:rPr>
          <w:rFonts w:hint="eastAsia"/>
          <w:b/>
          <w:bCs/>
        </w:rPr>
        <w:t>农业节水潜力。</w:t>
      </w:r>
      <w:r>
        <w:rPr>
          <w:rFonts w:hint="eastAsia"/>
        </w:rPr>
        <w:t>现状年额尔古纳市农田灌溉水有效利用系数0.628，</w:t>
      </w:r>
      <w:bookmarkStart w:id="57" w:name="_Hlk204762535"/>
      <w:r>
        <w:rPr>
          <w:rFonts w:hint="eastAsia"/>
        </w:rPr>
        <w:t>未来通过渠系改造以及推广采用喷灌、滴灌等高效节水灌溉方式</w:t>
      </w:r>
      <w:bookmarkEnd w:id="57"/>
      <w:r>
        <w:rPr>
          <w:rFonts w:hint="eastAsia"/>
        </w:rPr>
        <w:t>可以提高渠系及田间灌溉水利用系数，2035年农田灌溉水有效利用系数达</w:t>
      </w:r>
      <w:r>
        <w:t>0.6</w:t>
      </w:r>
      <w:r>
        <w:rPr>
          <w:rFonts w:hint="eastAsia"/>
        </w:rPr>
        <w:t>37，农业节水潜力为137.7万</w:t>
      </w:r>
      <w:r>
        <w:t>m</w:t>
      </w:r>
      <w:r>
        <w:rPr>
          <w:vertAlign w:val="superscript"/>
        </w:rPr>
        <w:t>3</w:t>
      </w:r>
      <w:r>
        <w:rPr>
          <w:rFonts w:hint="eastAsia"/>
        </w:rPr>
        <w:t>。</w:t>
      </w:r>
    </w:p>
    <w:p w14:paraId="47392E26">
      <w:pPr>
        <w:pStyle w:val="82"/>
        <w:ind w:firstLine="648" w:firstLineChars="0"/>
      </w:pPr>
      <w:r>
        <w:rPr>
          <w:rFonts w:hint="eastAsia"/>
          <w:b/>
          <w:bCs/>
        </w:rPr>
        <w:t>工业节水潜力。</w:t>
      </w:r>
      <w:r>
        <w:rPr>
          <w:rFonts w:hint="eastAsia"/>
        </w:rPr>
        <w:t>未来随着额尔古纳市工业产业的进一步发展和工业产业结构的优化升级，加之工艺设备不断更新改造，节水水平将不断提高。现状年全市现状一般工业增加值为1.7亿元（火电），万元工业增加值用水量为</w:t>
      </w:r>
      <w:r>
        <w:t>51.6m</w:t>
      </w:r>
      <w:r>
        <w:rPr>
          <w:vertAlign w:val="superscript"/>
        </w:rPr>
        <w:t>3</w:t>
      </w:r>
      <w:r>
        <w:rPr>
          <w:rFonts w:hint="eastAsia"/>
        </w:rPr>
        <w:t>，规划水平年万元工业增加值用水量降至43.9</w:t>
      </w:r>
      <w:r>
        <w:t>m</w:t>
      </w:r>
      <w:r>
        <w:rPr>
          <w:vertAlign w:val="superscript"/>
        </w:rPr>
        <w:t>3</w:t>
      </w:r>
      <w:r>
        <w:rPr>
          <w:rFonts w:hint="eastAsia"/>
        </w:rPr>
        <w:t>，可节约水量39.9万m</w:t>
      </w:r>
      <w:r>
        <w:rPr>
          <w:rFonts w:hint="eastAsia"/>
          <w:vertAlign w:val="superscript"/>
        </w:rPr>
        <w:t>3</w:t>
      </w:r>
      <w:r>
        <w:rPr>
          <w:rFonts w:hint="eastAsia"/>
        </w:rPr>
        <w:t>。</w:t>
      </w:r>
    </w:p>
    <w:p w14:paraId="5843A0A2">
      <w:pPr>
        <w:pStyle w:val="82"/>
        <w:ind w:firstLine="651"/>
        <w:rPr>
          <w:b/>
          <w:bCs/>
        </w:rPr>
      </w:pPr>
      <w:r>
        <w:rPr>
          <w:rFonts w:hint="eastAsia"/>
          <w:b/>
          <w:bCs/>
        </w:rPr>
        <w:t>（3）推进节水措施</w:t>
      </w:r>
    </w:p>
    <w:p w14:paraId="24E5E5BE">
      <w:pPr>
        <w:pStyle w:val="82"/>
        <w:ind w:firstLine="648"/>
      </w:pPr>
      <w:r>
        <w:rPr>
          <w:rFonts w:hint="eastAsia"/>
        </w:rPr>
        <w:t>积极践行节水优先的治水思路，持续实施《国家节水行动方案》，严格遵守《节约用水条例》，加强水资源节约集约利用，坚持以水定城、以水定地、以水定人、以水定产，把水资源作为最大的刚性约束，立足当前、着眼长远，合理规划人口、城市和产业布局，坚决抑制不合理用水，大力发展节水产业和先进技术，全面推动社会节水行动，推动用水方式由粗放向节约集约转变。</w:t>
      </w:r>
    </w:p>
    <w:p w14:paraId="6BE8AECD">
      <w:pPr>
        <w:pStyle w:val="82"/>
        <w:ind w:firstLine="651"/>
      </w:pPr>
      <w:r>
        <w:rPr>
          <w:rFonts w:hint="eastAsia"/>
          <w:b/>
          <w:bCs/>
        </w:rPr>
        <w:t>健全刚性约束指标体系。</w:t>
      </w:r>
      <w:r>
        <w:rPr>
          <w:rFonts w:hint="eastAsia"/>
        </w:rPr>
        <w:t>坚持把水资源作为最大的刚性约束，全方位贯彻“四水四定”原则，有效统筹好水资源承载力与经济社会协调发展。从严从细管好水资源，精打细算用好水资源，推动形成水资源节约集约利用的产业结构、生产方式、生活方式、空间格局。额尔古纳市以用水总量管控指标、地下水水位水量管控指标为约束，强化区域用水效率和用途管制，严格落实生态流量保障目标，全面实施有效计量（监测）等重点措施，以集约节水用水成效拓展和提升高质量发展空间和水平。</w:t>
      </w:r>
    </w:p>
    <w:p w14:paraId="6BB4D045">
      <w:pPr>
        <w:pStyle w:val="82"/>
        <w:ind w:firstLine="651"/>
      </w:pPr>
      <w:r>
        <w:rPr>
          <w:rFonts w:hint="eastAsia"/>
          <w:b/>
          <w:bCs/>
        </w:rPr>
        <w:t>深度实施农业节水增效。</w:t>
      </w:r>
      <w:r>
        <w:rPr>
          <w:rFonts w:hint="eastAsia"/>
        </w:rPr>
        <w:t>采取农业节水工程措施和技术措施，提高农业节水水平。一方面通过推广节水灌溉方式、建立节水型农田灌溉体系，开展灌区续建配套及节水改造和新建现代化灌区，加快高效输配水工程等农业节水基础设施建设，以支、斗、农渠防渗及田间土地平整为主，合理选择管灌喷灌、滴灌、水肥一体化等高效节水措施，到2035年，全市农田灌溉水有效利用系数提高到0.637。有序开展新增建设和改造提升建设高标准农田，将全市永久基本农田全部建成高标准农田；另一方面适度优化调整作物种植结构、鼓励发展低耗水、高产值农作物，适度压减高耗水作物，建立与水资源条件相适应的节水高效农作制度，推动农业绿色转型。</w:t>
      </w:r>
    </w:p>
    <w:p w14:paraId="2AF04E06">
      <w:pPr>
        <w:pStyle w:val="82"/>
        <w:ind w:firstLine="651"/>
      </w:pPr>
      <w:r>
        <w:rPr>
          <w:rFonts w:hint="eastAsia"/>
          <w:b/>
          <w:bCs/>
        </w:rPr>
        <w:t>深度实施</w:t>
      </w:r>
      <w:r>
        <w:rPr>
          <w:b/>
          <w:bCs/>
        </w:rPr>
        <w:t>工业节水减排</w:t>
      </w:r>
      <w:r>
        <w:rPr>
          <w:rFonts w:hint="eastAsia"/>
          <w:b/>
          <w:bCs/>
        </w:rPr>
        <w:t>。</w:t>
      </w:r>
      <w:r>
        <w:t>强化水资源水环境承载力约束，优化调整产业结构</w:t>
      </w:r>
      <w:r>
        <w:rPr>
          <w:rFonts w:hint="eastAsia"/>
        </w:rPr>
        <w:t>，制定严格的工业准入政策，</w:t>
      </w:r>
      <w:r>
        <w:t>合理规划工业发展布局和规模，倡导节水型企业建设，</w:t>
      </w:r>
      <w:r>
        <w:rPr>
          <w:rFonts w:hint="eastAsia"/>
        </w:rPr>
        <w:t>监督</w:t>
      </w:r>
      <w:r>
        <w:t>实施</w:t>
      </w:r>
      <w:r>
        <w:rPr>
          <w:rFonts w:hint="eastAsia"/>
        </w:rPr>
        <w:t>高耗水行业</w:t>
      </w:r>
      <w:r>
        <w:t>深度节水工程</w:t>
      </w:r>
      <w:r>
        <w:rPr>
          <w:rFonts w:hint="eastAsia"/>
        </w:rPr>
        <w:t>，</w:t>
      </w:r>
      <w:r>
        <w:t>提高工业用水重复利用率。</w:t>
      </w:r>
      <w:r>
        <w:rPr>
          <w:rFonts w:hint="eastAsia"/>
        </w:rPr>
        <w:t>推动节水型工业园区建设，加强园区、企业节水基础设施建设，推广、应用先进的节水技术工艺装备，建立节水管理长效机制，加快工业企业节水技术改造，持续推进节水“三同时”和“四到位”制度等</w:t>
      </w:r>
      <w:r>
        <w:t>。到2035年工业用水重复利用率进一步提高，合理控制新增高耗水高污染工业规模</w:t>
      </w:r>
      <w:r>
        <w:rPr>
          <w:rFonts w:hint="eastAsia"/>
        </w:rPr>
        <w:t>，万元工业增加值用水量力争达到</w:t>
      </w:r>
      <w:r>
        <w:t>43.9m</w:t>
      </w:r>
      <w:r>
        <w:rPr>
          <w:vertAlign w:val="superscript"/>
        </w:rPr>
        <w:t>3</w:t>
      </w:r>
      <w:r>
        <w:rPr>
          <w:rFonts w:hint="eastAsia"/>
        </w:rPr>
        <w:t>。</w:t>
      </w:r>
    </w:p>
    <w:p w14:paraId="457C5188">
      <w:pPr>
        <w:pStyle w:val="82"/>
        <w:ind w:firstLine="651"/>
      </w:pPr>
      <w:r>
        <w:rPr>
          <w:rFonts w:hint="eastAsia"/>
          <w:b/>
          <w:bCs/>
        </w:rPr>
        <w:t>加强城镇</w:t>
      </w:r>
      <w:r>
        <w:rPr>
          <w:b/>
          <w:bCs/>
        </w:rPr>
        <w:t>生活节水降损</w:t>
      </w:r>
      <w:r>
        <w:rPr>
          <w:rFonts w:hint="eastAsia"/>
          <w:b/>
          <w:bCs/>
        </w:rPr>
        <w:t>。</w:t>
      </w:r>
      <w:r>
        <w:rPr>
          <w:rFonts w:hint="eastAsia"/>
        </w:rPr>
        <w:t>强化规划引领，将节水贯穿到城市规划、建设、管理全过程，持续深入推进节水型城市建设。加快对超过使用年限、材质落后和受损失修的供水管网进行更新</w:t>
      </w:r>
      <w:r>
        <w:t>改造</w:t>
      </w:r>
      <w:bookmarkStart w:id="58" w:name="_Hlk202693157"/>
      <w:r>
        <w:rPr>
          <w:rFonts w:hint="eastAsia"/>
        </w:rPr>
        <w:t>；强化计量设施安装，加强重要分水口及用水户流量监测设备建设安装，</w:t>
      </w:r>
      <w:bookmarkEnd w:id="58"/>
      <w:r>
        <w:rPr>
          <w:rFonts w:hint="eastAsia"/>
        </w:rPr>
        <w:t>加强农村牧区用水管控，因地制宜更新完善供水计量设施，稳妥推进供水管网分区计量管理；</w:t>
      </w:r>
      <w:r>
        <w:t>推广</w:t>
      </w:r>
      <w:r>
        <w:rPr>
          <w:rFonts w:hint="eastAsia"/>
        </w:rPr>
        <w:t>各行业</w:t>
      </w:r>
      <w:r>
        <w:t>节水</w:t>
      </w:r>
      <w:r>
        <w:rPr>
          <w:rFonts w:hint="eastAsia"/>
        </w:rPr>
        <w:t>产品、</w:t>
      </w:r>
      <w:r>
        <w:t>器具</w:t>
      </w:r>
      <w:r>
        <w:rPr>
          <w:rFonts w:hint="eastAsia"/>
        </w:rPr>
        <w:t>普及，</w:t>
      </w:r>
      <w:r>
        <w:t>减少输水损失。</w:t>
      </w:r>
      <w:r>
        <w:rPr>
          <w:rFonts w:hint="eastAsia"/>
        </w:rPr>
        <w:t>严控高耗水服务业用水，</w:t>
      </w:r>
      <w:r>
        <w:t>加快开展洗浴、洗车、酒店、旅游等高耗水服务业节水技术改造</w:t>
      </w:r>
      <w:r>
        <w:rPr>
          <w:rFonts w:hint="eastAsia"/>
        </w:rPr>
        <w:t>，严格定额管理，</w:t>
      </w:r>
      <w:r>
        <w:t>巩固县域节水型社会达标建设成果。到2035年</w:t>
      </w:r>
      <w:r>
        <w:rPr>
          <w:rFonts w:hint="eastAsia"/>
        </w:rPr>
        <w:t>，开展供水管网改造，</w:t>
      </w:r>
      <w:r>
        <w:t>城市公共供水管网漏损率</w:t>
      </w:r>
      <w:r>
        <w:rPr>
          <w:rFonts w:hint="eastAsia"/>
        </w:rPr>
        <w:t>控制在9%以内；推广节水器具使用，普及率基本达到90%。</w:t>
      </w:r>
    </w:p>
    <w:p w14:paraId="2157BEAC">
      <w:pPr>
        <w:pStyle w:val="64"/>
      </w:pPr>
      <w:r>
        <w:rPr>
          <w:rFonts w:hint="eastAsia"/>
        </w:rPr>
        <w:t xml:space="preserve">2. </w:t>
      </w:r>
      <w:r>
        <w:rPr>
          <w:rFonts w:hint="eastAsia"/>
          <w:bCs/>
        </w:rPr>
        <w:t>需水预测</w:t>
      </w:r>
    </w:p>
    <w:p w14:paraId="3DC5E23F">
      <w:pPr>
        <w:pStyle w:val="82"/>
        <w:ind w:firstLine="648"/>
      </w:pPr>
      <w:r>
        <w:rPr>
          <w:rFonts w:hint="eastAsia"/>
        </w:rPr>
        <w:t>依托额尔古纳市自然资源和区位优势，按照自治区和呼伦贝尔市对额尔古纳市的功能定位，以自治区、市级制定的发展战略为指导，以城镇总体规划、工业发展规划、农业发展规划等为依据，预测规划水平年额尔古纳市经济社会指标。经济社会需水量包括城乡生活（含第三产业）、工业、农林牧渔和生态需水量。按照建设节水型社会的要求，需水预测考虑各用水对象的节水潜力，按节水情形进行预测。生活需水量采用人均日用水定额法预测，工业、第三产业、农林牧渔业和生态需水量采用定额法预测。</w:t>
      </w:r>
    </w:p>
    <w:p w14:paraId="61CBC6D9">
      <w:pPr>
        <w:pStyle w:val="82"/>
        <w:ind w:firstLine="651"/>
        <w:rPr>
          <w:b/>
          <w:bCs/>
        </w:rPr>
      </w:pPr>
      <w:r>
        <w:rPr>
          <w:rFonts w:hint="eastAsia"/>
          <w:b/>
          <w:bCs/>
        </w:rPr>
        <w:t>（1）经济社会发展预测</w:t>
      </w:r>
    </w:p>
    <w:p w14:paraId="1A96E90F">
      <w:pPr>
        <w:pStyle w:val="82"/>
        <w:ind w:firstLine="648"/>
      </w:pPr>
      <w:r>
        <w:rPr>
          <w:rFonts w:hint="eastAsia"/>
        </w:rPr>
        <w:t>以额尔古纳市“一山一廊两片区，一核三心多点”的国土空间开发保护总体格局为目标定位，以</w:t>
      </w:r>
      <w:r>
        <w:rPr>
          <w:rFonts w:hint="eastAsia"/>
          <w:lang w:val="zh-CN"/>
        </w:rPr>
        <w:t>《额尔古纳市国民经济和社会发展第十四个五年规划和二〇三五年远景目标纲要》</w:t>
      </w:r>
      <w:r>
        <w:rPr>
          <w:rFonts w:hint="eastAsia"/>
        </w:rPr>
        <w:t>《额尔古纳市国土空间总体规划（</w:t>
      </w:r>
      <w:r>
        <w:t>2021-2035</w:t>
      </w:r>
      <w:r>
        <w:rPr>
          <w:rFonts w:hint="eastAsia"/>
        </w:rPr>
        <w:t>年）》（以下简称“额尔古纳市总规”）和工业、农业、旅游业等发展规划为指导，对额尔古纳市规划水平年经济社会发展情况进行预测。</w:t>
      </w:r>
    </w:p>
    <w:p w14:paraId="2302A98C">
      <w:pPr>
        <w:pStyle w:val="82"/>
        <w:ind w:firstLine="648"/>
      </w:pPr>
      <w:r>
        <w:rPr>
          <w:rFonts w:hint="eastAsia"/>
        </w:rPr>
        <w:t>预测到</w:t>
      </w:r>
      <w:r>
        <w:t>2035</w:t>
      </w:r>
      <w:r>
        <w:rPr>
          <w:rFonts w:hint="eastAsia"/>
        </w:rPr>
        <w:t>年，全市常住人口规模为6.66万人，其中城镇人口由现状5.38万人提高至5.58万人，城镇化率由80.5</w:t>
      </w:r>
      <w:r>
        <w:t>%</w:t>
      </w:r>
      <w:r>
        <w:rPr>
          <w:rFonts w:hint="eastAsia"/>
        </w:rPr>
        <w:t>提高至83.8</w:t>
      </w:r>
      <w:r>
        <w:t>%</w:t>
      </w:r>
      <w:r>
        <w:rPr>
          <w:rFonts w:hint="eastAsia"/>
        </w:rPr>
        <w:t>。</w:t>
      </w:r>
      <w:r>
        <w:t>工业发展</w:t>
      </w:r>
      <w:r>
        <w:rPr>
          <w:rFonts w:hint="eastAsia"/>
        </w:rPr>
        <w:t>以构建绿色低碳工业体系为</w:t>
      </w:r>
      <w:r>
        <w:t>核心</w:t>
      </w:r>
      <w:r>
        <w:rPr>
          <w:rFonts w:hint="eastAsia"/>
        </w:rPr>
        <w:t>，以塞尚乳业、晟通糖业、春蕾麦芽等企业为龙头和代表，加快工业转型步伐，预测</w:t>
      </w:r>
      <w:r>
        <w:t>2035</w:t>
      </w:r>
      <w:r>
        <w:rPr>
          <w:rFonts w:hint="eastAsia"/>
        </w:rPr>
        <w:t>年工业增加值达到6.44亿元。随着旅游业发展战略持续深入，第三产业将保持较快发展势头，预测2035年第三产业增加值达到40.03亿元。按照适度增长的原则，预测</w:t>
      </w:r>
      <w:r>
        <w:t>2035</w:t>
      </w:r>
      <w:r>
        <w:rPr>
          <w:rFonts w:hint="eastAsia"/>
        </w:rPr>
        <w:t>年全市大牲畜11.8万头，小牲畜90.2万头。围绕支撑国家粮食安全战略、自治区重要农产品生产基地的战略要求，</w:t>
      </w:r>
      <w:r>
        <w:rPr>
          <w:rFonts w:hint="eastAsia"/>
          <w:lang w:val="zh-CN"/>
        </w:rPr>
        <w:t>预测2035年全市农田灌溉面积达到195.3万亩，</w:t>
      </w:r>
      <w:r>
        <w:rPr>
          <w:rFonts w:hint="eastAsia"/>
        </w:rPr>
        <w:t>农田灌溉水有效利用系数从现状年0.628提高到0.637。不同水平年额尔古纳市经济社会指标发展预测结果见表。</w:t>
      </w:r>
    </w:p>
    <w:p w14:paraId="0111EE50">
      <w:pPr>
        <w:pStyle w:val="82"/>
        <w:ind w:firstLine="648"/>
        <w:sectPr>
          <w:footerReference r:id="rId8" w:type="default"/>
          <w:pgSz w:w="11906" w:h="16838"/>
          <w:pgMar w:top="1418" w:right="1418" w:bottom="1418" w:left="1418" w:header="851" w:footer="992" w:gutter="0"/>
          <w:cols w:space="425" w:num="1"/>
          <w:docGrid w:type="lines" w:linePitch="312" w:charSpace="0"/>
        </w:sectPr>
      </w:pPr>
    </w:p>
    <w:p w14:paraId="2863E0AC">
      <w:pPr>
        <w:pStyle w:val="82"/>
        <w:ind w:firstLine="651"/>
        <w:rPr>
          <w:b/>
          <w:bCs/>
        </w:rPr>
      </w:pPr>
      <w:bookmarkStart w:id="59" w:name="_Toc143269914"/>
      <w:r>
        <w:rPr>
          <w:rFonts w:hint="eastAsia"/>
          <w:b/>
          <w:bCs/>
        </w:rPr>
        <w:t>（</w:t>
      </w:r>
      <w:r>
        <w:rPr>
          <w:b/>
          <w:bCs/>
        </w:rPr>
        <w:t>2</w:t>
      </w:r>
      <w:r>
        <w:rPr>
          <w:rFonts w:hint="eastAsia"/>
          <w:b/>
          <w:bCs/>
        </w:rPr>
        <w:t>）</w:t>
      </w:r>
      <w:bookmarkEnd w:id="59"/>
      <w:r>
        <w:rPr>
          <w:rFonts w:hint="eastAsia"/>
          <w:b/>
          <w:bCs/>
        </w:rPr>
        <w:t>用水</w:t>
      </w:r>
      <w:r>
        <w:rPr>
          <w:b/>
          <w:bCs/>
        </w:rPr>
        <w:t>定额分析</w:t>
      </w:r>
    </w:p>
    <w:p w14:paraId="137F813C">
      <w:pPr>
        <w:pStyle w:val="82"/>
        <w:ind w:firstLine="648"/>
      </w:pPr>
      <w:r>
        <w:rPr>
          <w:rFonts w:hint="eastAsia"/>
        </w:rPr>
        <w:t>额尔古纳市基准</w:t>
      </w:r>
      <w:r>
        <w:t>年</w:t>
      </w:r>
      <w:r>
        <w:rPr>
          <w:rFonts w:hint="eastAsia"/>
        </w:rPr>
        <w:t>各乡镇生活用水定额为100～110</w:t>
      </w:r>
      <w:r>
        <w:t>L/（人·d），农村居民生活</w:t>
      </w:r>
      <w:r>
        <w:rPr>
          <w:rFonts w:hint="eastAsia"/>
        </w:rPr>
        <w:t>用水</w:t>
      </w:r>
      <w:r>
        <w:t>定额为</w:t>
      </w:r>
      <w:r>
        <w:rPr>
          <w:rFonts w:hint="eastAsia"/>
        </w:rPr>
        <w:t>75~85</w:t>
      </w:r>
      <w:r>
        <w:t>L/（人·d），</w:t>
      </w:r>
      <w:r>
        <w:rPr>
          <w:rFonts w:hint="eastAsia"/>
        </w:rPr>
        <w:t>随着</w:t>
      </w:r>
      <w:r>
        <w:t>生活水平提高，居民</w:t>
      </w:r>
      <w:r>
        <w:rPr>
          <w:rFonts w:hint="eastAsia"/>
        </w:rPr>
        <w:t>生活</w:t>
      </w:r>
      <w:r>
        <w:t>用水定额较基准年提高。根据《</w:t>
      </w:r>
      <w:r>
        <w:rPr>
          <w:rFonts w:hint="eastAsia"/>
        </w:rPr>
        <w:t>内蒙古自治区行业</w:t>
      </w:r>
      <w:r>
        <w:t>用水定额》</w:t>
      </w:r>
      <w:r>
        <w:rPr>
          <w:rFonts w:hint="eastAsia"/>
        </w:rPr>
        <w:t>（DB15/T385-2020）</w:t>
      </w:r>
      <w:r>
        <w:t>，</w:t>
      </w:r>
      <w:r>
        <w:rPr>
          <w:rFonts w:hint="eastAsia"/>
        </w:rPr>
        <w:t>预测</w:t>
      </w:r>
      <w:r>
        <w:t>2035年城镇居民和农村居民生活用水定额分别为</w:t>
      </w:r>
      <w:r>
        <w:rPr>
          <w:rFonts w:hint="eastAsia"/>
        </w:rPr>
        <w:t>125</w:t>
      </w:r>
      <w:r>
        <w:t>L/（人·d）和</w:t>
      </w:r>
      <w:r>
        <w:rPr>
          <w:rFonts w:hint="eastAsia"/>
        </w:rPr>
        <w:t>95</w:t>
      </w:r>
      <w:r>
        <w:t>L/（人·d）。</w:t>
      </w:r>
      <w:r>
        <w:rPr>
          <w:rFonts w:hint="eastAsia"/>
        </w:rPr>
        <w:t>基准年全市万元工业增加值用水定额51.6m</w:t>
      </w:r>
      <w:r>
        <w:rPr>
          <w:rFonts w:hint="eastAsia"/>
          <w:vertAlign w:val="superscript"/>
        </w:rPr>
        <w:t>3</w:t>
      </w:r>
      <w:r>
        <w:rPr>
          <w:rFonts w:hint="eastAsia"/>
        </w:rPr>
        <w:t>/万元，随着</w:t>
      </w:r>
      <w:r>
        <w:t>工业节水</w:t>
      </w:r>
      <w:r>
        <w:rPr>
          <w:rFonts w:hint="eastAsia"/>
        </w:rPr>
        <w:t>技术</w:t>
      </w:r>
      <w:r>
        <w:t>的进步，</w:t>
      </w:r>
      <w:r>
        <w:rPr>
          <w:rFonts w:hint="eastAsia"/>
        </w:rPr>
        <w:t>2035万元工业增加值用水定额降低</w:t>
      </w:r>
      <w:r>
        <w:t>到</w:t>
      </w:r>
      <w:r>
        <w:rPr>
          <w:rFonts w:hint="eastAsia"/>
        </w:rPr>
        <w:t>43.9m</w:t>
      </w:r>
      <w:r>
        <w:rPr>
          <w:rFonts w:hint="eastAsia"/>
          <w:vertAlign w:val="superscript"/>
        </w:rPr>
        <w:t>3</w:t>
      </w:r>
      <w:r>
        <w:rPr>
          <w:rFonts w:hint="eastAsia"/>
        </w:rPr>
        <w:t>/万元。随着</w:t>
      </w:r>
      <w:r>
        <w:t>农业节水水平提高，</w:t>
      </w:r>
      <w:r>
        <w:rPr>
          <w:rFonts w:hint="eastAsia"/>
        </w:rPr>
        <w:t>农田</w:t>
      </w:r>
      <w:r>
        <w:t>灌溉</w:t>
      </w:r>
      <w:r>
        <w:rPr>
          <w:rFonts w:hint="eastAsia"/>
        </w:rPr>
        <w:t>定额</w:t>
      </w:r>
      <w:r>
        <w:t>由</w:t>
      </w:r>
      <w:r>
        <w:rPr>
          <w:rFonts w:hint="eastAsia"/>
        </w:rPr>
        <w:t>基准年</w:t>
      </w:r>
      <w:r>
        <w:t>的</w:t>
      </w:r>
      <w:r>
        <w:rPr>
          <w:rFonts w:hint="eastAsia"/>
        </w:rPr>
        <w:t>108m</w:t>
      </w:r>
      <w:r>
        <w:rPr>
          <w:rFonts w:hint="eastAsia"/>
          <w:vertAlign w:val="superscript"/>
        </w:rPr>
        <w:t>3</w:t>
      </w:r>
      <w:r>
        <w:t>/</w:t>
      </w:r>
      <w:r>
        <w:rPr>
          <w:rFonts w:hint="eastAsia"/>
        </w:rPr>
        <w:t>亩降低</w:t>
      </w:r>
      <w:r>
        <w:t>到</w:t>
      </w:r>
      <w:r>
        <w:rPr>
          <w:rFonts w:hint="eastAsia"/>
        </w:rPr>
        <w:t>82m</w:t>
      </w:r>
      <w:r>
        <w:rPr>
          <w:rFonts w:hint="eastAsia"/>
          <w:vertAlign w:val="superscript"/>
        </w:rPr>
        <w:t>3</w:t>
      </w:r>
      <w:r>
        <w:t>/</w:t>
      </w:r>
      <w:r>
        <w:rPr>
          <w:rFonts w:hint="eastAsia"/>
        </w:rPr>
        <w:t>亩</w:t>
      </w:r>
      <w:r>
        <w:t>。</w:t>
      </w:r>
    </w:p>
    <w:p w14:paraId="39BAD705">
      <w:pPr>
        <w:pStyle w:val="82"/>
        <w:ind w:firstLine="651"/>
        <w:rPr>
          <w:b/>
          <w:bCs/>
        </w:rPr>
      </w:pPr>
      <w:r>
        <w:rPr>
          <w:rFonts w:hint="eastAsia"/>
          <w:b/>
          <w:bCs/>
        </w:rPr>
        <w:t>（3）需水量预测结果</w:t>
      </w:r>
    </w:p>
    <w:p w14:paraId="5205863B">
      <w:pPr>
        <w:pStyle w:val="82"/>
        <w:ind w:firstLine="648"/>
      </w:pPr>
      <w:r>
        <w:rPr>
          <w:rFonts w:hint="eastAsia"/>
        </w:rPr>
        <w:t>本次按节水优先的要求进行了需水预测，预测中采用的经济社会发展指标与《额尔古纳市国民经济和社会发展第十四个五年规划和二</w:t>
      </w:r>
      <w:r>
        <w:rPr>
          <w:rFonts w:hint="eastAsia" w:ascii="微软雅黑" w:hAnsi="微软雅黑" w:eastAsia="微软雅黑" w:cs="微软雅黑"/>
        </w:rPr>
        <w:t>〇</w:t>
      </w:r>
      <w:r>
        <w:rPr>
          <w:rFonts w:hint="eastAsia" w:ascii="仿宋_GB2312" w:hAnsi="仿宋_GB2312" w:cs="仿宋_GB2312"/>
        </w:rPr>
        <w:t>三五年远景目标纲要》《额尔古纳市国土空间总体规划（</w:t>
      </w:r>
      <w:r>
        <w:rPr>
          <w:rFonts w:hint="eastAsia"/>
        </w:rPr>
        <w:t>2020-2035年）》等规划相衔接，需水定额与《呼伦贝尔市用水总量控制方案》中用水效率控制指标以及《内蒙古自治区行业用水定额（DB15T 385-2020）》等相衔接。</w:t>
      </w:r>
    </w:p>
    <w:p w14:paraId="64AF1FFE">
      <w:pPr>
        <w:pStyle w:val="82"/>
        <w:ind w:firstLine="648"/>
      </w:pPr>
      <w:r>
        <w:rPr>
          <w:rFonts w:hint="eastAsia"/>
        </w:rPr>
        <w:t>经预测，2035年全市总需水量为</w:t>
      </w:r>
      <w:r>
        <w:t>18064.7</w:t>
      </w:r>
      <w:r>
        <w:rPr>
          <w:rFonts w:hint="eastAsia"/>
        </w:rPr>
        <w:t>万m</w:t>
      </w:r>
      <w:r>
        <w:rPr>
          <w:rFonts w:hint="eastAsia"/>
          <w:vertAlign w:val="superscript"/>
        </w:rPr>
        <w:t>3</w:t>
      </w:r>
      <w:r>
        <w:rPr>
          <w:rFonts w:hint="eastAsia"/>
        </w:rPr>
        <w:t>，</w:t>
      </w:r>
      <w:r>
        <w:rPr>
          <w:rFonts w:hint="eastAsia" w:ascii="仿宋_GB2312" w:hAnsi="仿宋_GB2312" w:cs="仿宋_GB2312"/>
        </w:rPr>
        <w:t>其中生活需水量为</w:t>
      </w:r>
      <w:r>
        <w:rPr>
          <w:rFonts w:hint="eastAsia"/>
        </w:rPr>
        <w:t>474.6万m</w:t>
      </w:r>
      <w:r>
        <w:rPr>
          <w:rFonts w:hint="eastAsia"/>
          <w:vertAlign w:val="superscript"/>
        </w:rPr>
        <w:t>3</w:t>
      </w:r>
      <w:r>
        <w:rPr>
          <w:rFonts w:hint="eastAsia"/>
        </w:rPr>
        <w:t>，工业需水量为326.5万m</w:t>
      </w:r>
      <w:r>
        <w:rPr>
          <w:rFonts w:hint="eastAsia"/>
          <w:vertAlign w:val="superscript"/>
        </w:rPr>
        <w:t>3</w:t>
      </w:r>
      <w:r>
        <w:rPr>
          <w:rFonts w:hint="eastAsia"/>
        </w:rPr>
        <w:t>，</w:t>
      </w:r>
      <w:r>
        <w:rPr>
          <w:rFonts w:hint="eastAsia" w:ascii="仿宋_GB2312" w:hAnsi="仿宋_GB2312" w:cs="仿宋_GB2312"/>
        </w:rPr>
        <w:t>农业需水量为</w:t>
      </w:r>
      <w:r>
        <w:rPr>
          <w:rFonts w:hint="eastAsia"/>
        </w:rPr>
        <w:t>17064.7万m</w:t>
      </w:r>
      <w:r>
        <w:rPr>
          <w:rFonts w:hint="eastAsia"/>
          <w:vertAlign w:val="superscript"/>
        </w:rPr>
        <w:t>3</w:t>
      </w:r>
      <w:r>
        <w:rPr>
          <w:rFonts w:hint="eastAsia"/>
        </w:rPr>
        <w:t>，</w:t>
      </w:r>
      <w:r>
        <w:rPr>
          <w:rFonts w:hint="eastAsia" w:ascii="仿宋_GB2312" w:hAnsi="仿宋_GB2312" w:cs="仿宋_GB2312"/>
        </w:rPr>
        <w:t>生态环境需水</w:t>
      </w:r>
      <w:r>
        <w:rPr>
          <w:rFonts w:hint="eastAsia"/>
        </w:rPr>
        <w:t>量199.0万m</w:t>
      </w:r>
      <w:r>
        <w:rPr>
          <w:rFonts w:hint="eastAsia"/>
          <w:vertAlign w:val="superscript"/>
        </w:rPr>
        <w:t>3</w:t>
      </w:r>
      <w:r>
        <w:rPr>
          <w:rFonts w:hint="eastAsia"/>
        </w:rPr>
        <w:t>。</w:t>
      </w:r>
    </w:p>
    <w:p w14:paraId="614547F6">
      <w:pPr>
        <w:pStyle w:val="64"/>
      </w:pPr>
      <w:r>
        <w:rPr>
          <w:rFonts w:hint="eastAsia"/>
        </w:rPr>
        <w:t>3. 水资源供需分析</w:t>
      </w:r>
    </w:p>
    <w:p w14:paraId="4C133C74">
      <w:pPr>
        <w:pStyle w:val="82"/>
        <w:ind w:firstLine="651"/>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（1）供需分析原则</w:t>
      </w:r>
    </w:p>
    <w:p w14:paraId="35D98FB9">
      <w:pPr>
        <w:pStyle w:val="82"/>
        <w:ind w:firstLine="648"/>
        <w:rPr>
          <w:color w:val="000000" w:themeColor="text1"/>
          <w14:textFill>
            <w14:solidFill>
              <w14:schemeClr w14:val="tx1"/>
            </w14:solidFill>
          </w14:textFill>
        </w:rPr>
      </w:pPr>
      <w:r>
        <w:rPr>
          <w:rFonts w:hint="eastAsia"/>
          <w:color w:val="000000" w:themeColor="text1"/>
          <w14:textFill>
            <w14:solidFill>
              <w14:schemeClr w14:val="tx1"/>
            </w14:solidFill>
          </w14:textFill>
        </w:rPr>
        <w:t>供需分析以水资源可利用量为控制，严格控制用水总量，尽量维持现有工程的任务，还原被挤占的河道生态基流，扣除不合理的地下水开采量，按照“留生态、先生活、再工业、后农业”的供水顺序，遵循“优水优用、高水高用”的原则，从上游到下游，先支流后干流，逐个节点开展供需分析计算。</w:t>
      </w:r>
    </w:p>
    <w:p w14:paraId="33F82C33">
      <w:pPr>
        <w:pStyle w:val="82"/>
        <w:ind w:firstLine="648"/>
        <w:rPr>
          <w:color w:val="000000" w:themeColor="text1"/>
          <w14:textFill>
            <w14:solidFill>
              <w14:schemeClr w14:val="tx1"/>
            </w14:solidFill>
          </w14:textFill>
        </w:rPr>
      </w:pPr>
      <w:r>
        <w:rPr>
          <w:rFonts w:hint="eastAsia"/>
          <w:color w:val="000000" w:themeColor="text1"/>
          <w14:textFill>
            <w14:solidFill>
              <w14:schemeClr w14:val="tx1"/>
            </w14:solidFill>
          </w14:textFill>
        </w:rPr>
        <w:t>保证率：生活和工业保证率95%，农业灌溉保证率85%。</w:t>
      </w:r>
    </w:p>
    <w:p w14:paraId="48412855">
      <w:pPr>
        <w:pStyle w:val="82"/>
        <w:ind w:firstLine="648"/>
        <w:rPr>
          <w:color w:val="000000" w:themeColor="text1"/>
          <w14:textFill>
            <w14:solidFill>
              <w14:schemeClr w14:val="tx1"/>
            </w14:solidFill>
          </w14:textFill>
        </w:rPr>
      </w:pPr>
      <w:r>
        <w:rPr>
          <w:rFonts w:hint="eastAsia"/>
          <w:color w:val="000000" w:themeColor="text1"/>
          <w14:textFill>
            <w14:solidFill>
              <w14:schemeClr w14:val="tx1"/>
            </w14:solidFill>
          </w14:textFill>
        </w:rPr>
        <w:t>生态基流：汛期（4~9月）生态流量取多年平均流量的</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0%，非汛期（10~3月）生态流量取多年平均流量的10%。</w:t>
      </w:r>
    </w:p>
    <w:p w14:paraId="1B00D2C7">
      <w:pPr>
        <w:pStyle w:val="82"/>
        <w:ind w:firstLine="651"/>
        <w:rPr>
          <w:b/>
          <w:bCs/>
        </w:rPr>
      </w:pPr>
      <w:r>
        <w:rPr>
          <w:rFonts w:hint="eastAsia"/>
          <w:b/>
          <w:bCs/>
        </w:rPr>
        <w:t>（2）可供水量</w:t>
      </w:r>
    </w:p>
    <w:p w14:paraId="010B6F4A">
      <w:pPr>
        <w:pStyle w:val="82"/>
        <w:ind w:firstLine="651"/>
        <w:rPr>
          <w:b/>
          <w:bCs/>
        </w:rPr>
      </w:pPr>
      <w:r>
        <w:rPr>
          <w:rFonts w:hint="eastAsia"/>
          <w:b/>
          <w:bCs/>
        </w:rPr>
        <w:t>①控制指标</w:t>
      </w:r>
    </w:p>
    <w:p w14:paraId="4E6381B0">
      <w:pPr>
        <w:pStyle w:val="82"/>
        <w:ind w:firstLine="648"/>
      </w:pPr>
      <w:r>
        <w:rPr>
          <w:rFonts w:hint="eastAsia"/>
          <w:color w:val="000000" w:themeColor="text1"/>
          <w14:textFill>
            <w14:solidFill>
              <w14:schemeClr w14:val="tx1"/>
            </w14:solidFill>
          </w14:textFill>
        </w:rPr>
        <w:t>根据《呼伦贝尔市人民政府关于实行最严格的水资源管理制度的意见》（呼政发〔2014〕104号），2020年额尔古纳市用水指标为1.10亿m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，2030年额尔古纳市用水指标为1.15亿m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w:t>
      </w:r>
    </w:p>
    <w:p w14:paraId="430F04DA">
      <w:pPr>
        <w:pStyle w:val="82"/>
        <w:ind w:firstLine="651"/>
        <w:rPr>
          <w:b/>
          <w:bCs/>
        </w:rPr>
      </w:pPr>
      <w:r>
        <w:rPr>
          <w:rFonts w:hint="eastAsia"/>
          <w:b/>
          <w:bCs/>
        </w:rPr>
        <w:t>②可供水量</w:t>
      </w:r>
    </w:p>
    <w:p w14:paraId="24AFADE1">
      <w:pPr>
        <w:pStyle w:val="82"/>
        <w:ind w:firstLine="648"/>
      </w:pPr>
      <w:r>
        <w:rPr>
          <w:rFonts w:hint="eastAsia"/>
        </w:rPr>
        <w:t>额尔古纳市现状供水设施总体上分为地表水源、地下水源和其它水源三大类。地表水源工程主要为提水工程，地下水源工程主要为地下水机电井工程，其他水源工程主要为污水处理厂和再生水回用设施。</w:t>
      </w:r>
    </w:p>
    <w:p w14:paraId="4E77E82A">
      <w:pPr>
        <w:pStyle w:val="82"/>
        <w:ind w:firstLine="651"/>
      </w:pPr>
      <w:r>
        <w:rPr>
          <w:rFonts w:hint="eastAsia"/>
          <w:b/>
          <w:bCs/>
        </w:rPr>
        <w:t>地表水供水工程。</w:t>
      </w:r>
      <w:r>
        <w:rPr>
          <w:rFonts w:hint="eastAsia"/>
        </w:rPr>
        <w:t>额尔古纳市各河流的干流和支流上建有提水泵站共234座，提水能力41.6m</w:t>
      </w:r>
      <w:r>
        <w:rPr>
          <w:rFonts w:hint="eastAsia"/>
          <w:vertAlign w:val="superscript"/>
        </w:rPr>
        <w:t>3</w:t>
      </w:r>
      <w:r>
        <w:rPr>
          <w:rFonts w:hint="eastAsia"/>
        </w:rPr>
        <w:t>/s。根据来水情况、河道外用水需求、河道内生态基流需求、调蓄能力、供水优先次序和调度运行规则等进行调算，以大中型泵站为调蓄节点，按照先上游后下游、先支流后干流的顺序，在区域河道外用水总量红线、河道内生态用水红线的双控下，计算各规模泵站的可供水量。</w:t>
      </w:r>
    </w:p>
    <w:p w14:paraId="1A16A7C0">
      <w:pPr>
        <w:pStyle w:val="82"/>
        <w:ind w:firstLine="651"/>
      </w:pPr>
      <w:r>
        <w:rPr>
          <w:rFonts w:hint="eastAsia"/>
          <w:b/>
          <w:bCs/>
        </w:rPr>
        <w:t>地下水工程。</w:t>
      </w:r>
      <w:r>
        <w:rPr>
          <w:rFonts w:hint="eastAsia"/>
        </w:rPr>
        <w:t>为保护地下水资源，落实最严格水资源管理制度，规划水平年</w:t>
      </w:r>
      <w:r>
        <w:t>2035</w:t>
      </w:r>
      <w:r>
        <w:rPr>
          <w:rFonts w:hint="eastAsia"/>
        </w:rPr>
        <w:t>年额尔古纳市地下水供水量按2000万</w:t>
      </w:r>
      <w:r>
        <w:t>m</w:t>
      </w:r>
      <w:r>
        <w:rPr>
          <w:rFonts w:hint="eastAsia"/>
          <w:vertAlign w:val="superscript"/>
        </w:rPr>
        <w:t>3</w:t>
      </w:r>
      <w:r>
        <w:rPr>
          <w:rFonts w:hint="eastAsia"/>
        </w:rPr>
        <w:t>控制。在多年平均地下水开采量不超过地下水用水量控制指标的前提下，根据地下水供水“以丰补欠”的特点，与地表水供水进行联合调配。</w:t>
      </w:r>
    </w:p>
    <w:p w14:paraId="77666C6C">
      <w:pPr>
        <w:pStyle w:val="82"/>
        <w:ind w:firstLine="651"/>
      </w:pPr>
      <w:r>
        <w:rPr>
          <w:rFonts w:hint="eastAsia"/>
          <w:b/>
          <w:bCs/>
        </w:rPr>
        <w:t>再生水供水工程。</w:t>
      </w:r>
      <w:r>
        <w:rPr>
          <w:rFonts w:hint="eastAsia"/>
        </w:rPr>
        <w:t>根据废污水排放量、污水处理厂处理能力、用水户需求等综合确定再生水可供水量。再生水可供水量按照规划水平年生活和工业用水回用，2035年城区再生水利用率达到50%，全市可利用再生水量为213万m</w:t>
      </w:r>
      <w:r>
        <w:rPr>
          <w:rFonts w:hint="eastAsia"/>
          <w:vertAlign w:val="superscript"/>
        </w:rPr>
        <w:t>3</w:t>
      </w:r>
      <w:r>
        <w:rPr>
          <w:rFonts w:hint="eastAsia"/>
        </w:rPr>
        <w:t>。</w:t>
      </w:r>
    </w:p>
    <w:p w14:paraId="1AD71720">
      <w:pPr>
        <w:pStyle w:val="82"/>
        <w:ind w:firstLine="651"/>
      </w:pPr>
      <w:r>
        <w:rPr>
          <w:rFonts w:hint="eastAsia"/>
          <w:b/>
          <w:bCs/>
        </w:rPr>
        <w:t>（3）供需分析</w:t>
      </w:r>
    </w:p>
    <w:p w14:paraId="369C76A0">
      <w:pPr>
        <w:pStyle w:val="82"/>
        <w:ind w:firstLine="651"/>
      </w:pPr>
      <w:r>
        <w:rPr>
          <w:rFonts w:hint="eastAsia"/>
          <w:b/>
          <w:bCs/>
        </w:rPr>
        <w:t>基准年供需分析。</w:t>
      </w:r>
      <w:r>
        <w:t>充分考虑现状</w:t>
      </w:r>
      <w:r>
        <w:rPr>
          <w:rFonts w:hint="eastAsia"/>
        </w:rPr>
        <w:t>提水工程</w:t>
      </w:r>
      <w:r>
        <w:t>供水能力，基准年</w:t>
      </w:r>
      <w:r>
        <w:rPr>
          <w:rFonts w:hint="eastAsia"/>
        </w:rPr>
        <w:t>额尔古纳市多年平均可</w:t>
      </w:r>
      <w:r>
        <w:t>供水量为</w:t>
      </w:r>
      <w:r>
        <w:rPr>
          <w:rFonts w:hint="eastAsia"/>
        </w:rPr>
        <w:t>5233</w:t>
      </w:r>
      <w:r>
        <w:t>万</w:t>
      </w:r>
      <w:r>
        <w:rPr>
          <w:rFonts w:hint="eastAsia"/>
        </w:rPr>
        <w:t>m</w:t>
      </w:r>
      <w:r>
        <w:rPr>
          <w:rFonts w:hint="eastAsia"/>
          <w:vertAlign w:val="superscript"/>
        </w:rPr>
        <w:t>3</w:t>
      </w:r>
      <w:r>
        <w:t>，</w:t>
      </w:r>
      <w:r>
        <w:rPr>
          <w:rFonts w:hint="eastAsia"/>
        </w:rPr>
        <w:t>其中</w:t>
      </w:r>
      <w:r>
        <w:t>地表水</w:t>
      </w:r>
      <w:r>
        <w:rPr>
          <w:rFonts w:hint="eastAsia"/>
        </w:rPr>
        <w:t>可</w:t>
      </w:r>
      <w:r>
        <w:t>供水量为</w:t>
      </w:r>
      <w:r>
        <w:rPr>
          <w:rFonts w:hint="eastAsia"/>
        </w:rPr>
        <w:t>3671</w:t>
      </w:r>
      <w:r>
        <w:t>万</w:t>
      </w:r>
      <w:r>
        <w:rPr>
          <w:rFonts w:hint="eastAsia"/>
        </w:rPr>
        <w:t>m</w:t>
      </w:r>
      <w:r>
        <w:rPr>
          <w:rFonts w:hint="eastAsia"/>
          <w:vertAlign w:val="superscript"/>
        </w:rPr>
        <w:t>3</w:t>
      </w:r>
      <w:r>
        <w:t>，地下水</w:t>
      </w:r>
      <w:r>
        <w:rPr>
          <w:rFonts w:hint="eastAsia"/>
        </w:rPr>
        <w:t>可</w:t>
      </w:r>
      <w:r>
        <w:t>供水量</w:t>
      </w:r>
      <w:r>
        <w:rPr>
          <w:rFonts w:hint="eastAsia"/>
        </w:rPr>
        <w:t>1400</w:t>
      </w:r>
      <w:r>
        <w:t>万</w:t>
      </w:r>
      <w:r>
        <w:rPr>
          <w:rFonts w:hint="eastAsia"/>
        </w:rPr>
        <w:t>m</w:t>
      </w:r>
      <w:r>
        <w:rPr>
          <w:rFonts w:hint="eastAsia"/>
          <w:vertAlign w:val="superscript"/>
        </w:rPr>
        <w:t>3</w:t>
      </w:r>
      <w:r>
        <w:t>，再生水供水量</w:t>
      </w:r>
      <w:r>
        <w:rPr>
          <w:rFonts w:hint="eastAsia"/>
        </w:rPr>
        <w:t>162</w:t>
      </w:r>
      <w:r>
        <w:t>万</w:t>
      </w:r>
      <w:r>
        <w:rPr>
          <w:rFonts w:hint="eastAsia"/>
        </w:rPr>
        <w:t>m</w:t>
      </w:r>
      <w:r>
        <w:rPr>
          <w:rFonts w:hint="eastAsia"/>
          <w:vertAlign w:val="superscript"/>
        </w:rPr>
        <w:t>3</w:t>
      </w:r>
      <w:r>
        <w:t>。</w:t>
      </w:r>
      <w:r>
        <w:rPr>
          <w:rFonts w:hint="eastAsia"/>
        </w:rPr>
        <w:t>额尔古纳市</w:t>
      </w:r>
      <w:r>
        <w:t>基准年</w:t>
      </w:r>
      <w:r>
        <w:rPr>
          <w:rFonts w:hint="eastAsia"/>
        </w:rPr>
        <w:t>多年平均总</w:t>
      </w:r>
      <w:r>
        <w:t>需水量为</w:t>
      </w:r>
      <w:r>
        <w:rPr>
          <w:rFonts w:hint="eastAsia"/>
        </w:rPr>
        <w:t>11099</w:t>
      </w:r>
      <w:r>
        <w:t>万</w:t>
      </w:r>
      <w:r>
        <w:rPr>
          <w:rFonts w:hint="eastAsia"/>
        </w:rPr>
        <w:t>m</w:t>
      </w:r>
      <w:r>
        <w:rPr>
          <w:rFonts w:hint="eastAsia"/>
          <w:vertAlign w:val="superscript"/>
        </w:rPr>
        <w:t>3</w:t>
      </w:r>
      <w:r>
        <w:t>，</w:t>
      </w:r>
      <w:r>
        <w:rPr>
          <w:rFonts w:hint="eastAsia"/>
        </w:rPr>
        <w:t>则基准年</w:t>
      </w:r>
      <w:r>
        <w:t>缺水量</w:t>
      </w:r>
      <w:r>
        <w:rPr>
          <w:rFonts w:hint="eastAsia"/>
        </w:rPr>
        <w:t>为5865</w:t>
      </w:r>
      <w:r>
        <w:t>万</w:t>
      </w:r>
      <w:r>
        <w:rPr>
          <w:rFonts w:hint="eastAsia"/>
        </w:rPr>
        <w:t>m</w:t>
      </w:r>
      <w:r>
        <w:rPr>
          <w:rFonts w:hint="eastAsia"/>
          <w:vertAlign w:val="superscript"/>
        </w:rPr>
        <w:t>3</w:t>
      </w:r>
      <w:r>
        <w:t>，缺水率</w:t>
      </w:r>
      <w:r>
        <w:rPr>
          <w:rFonts w:hint="eastAsia"/>
        </w:rPr>
        <w:t>52.8</w:t>
      </w:r>
      <w:r>
        <w:t>%，缺水行业</w:t>
      </w:r>
      <w:r>
        <w:rPr>
          <w:rFonts w:hint="eastAsia"/>
        </w:rPr>
        <w:t>主要</w:t>
      </w:r>
      <w:r>
        <w:t>为农业灌溉。</w:t>
      </w:r>
    </w:p>
    <w:p w14:paraId="2DF79519">
      <w:pPr>
        <w:pStyle w:val="82"/>
        <w:ind w:firstLine="651"/>
        <w:rPr>
          <w:bCs/>
        </w:rPr>
      </w:pPr>
      <w:r>
        <w:rPr>
          <w:rFonts w:hint="eastAsia"/>
          <w:b/>
          <w:bCs/>
        </w:rPr>
        <w:t>基于现状工程条件下的规划年供需平衡分析。</w:t>
      </w:r>
      <w:r>
        <w:rPr>
          <w:rFonts w:hint="eastAsia"/>
        </w:rPr>
        <w:t>规划水平年通过强化节水措施，对现有设施进一步挖潜配套，提出规划水平年水资源供需分析成果。在现状工程条件下，</w:t>
      </w:r>
      <w:r>
        <w:rPr>
          <w:bCs/>
        </w:rPr>
        <w:t>2035</w:t>
      </w:r>
      <w:r>
        <w:rPr>
          <w:rFonts w:hint="eastAsia"/>
          <w:bCs/>
        </w:rPr>
        <w:t>年</w:t>
      </w:r>
      <w:r>
        <w:rPr>
          <w:rFonts w:hint="eastAsia"/>
        </w:rPr>
        <w:t>额尔古纳市</w:t>
      </w:r>
      <w:r>
        <w:rPr>
          <w:rFonts w:hint="eastAsia"/>
          <w:bCs/>
        </w:rPr>
        <w:t>多年平均可供水量为6425万</w:t>
      </w:r>
      <w:r>
        <w:rPr>
          <w:bCs/>
        </w:rPr>
        <w:t>m</w:t>
      </w:r>
      <w:r>
        <w:rPr>
          <w:bCs/>
          <w:vertAlign w:val="superscript"/>
        </w:rPr>
        <w:t>3</w:t>
      </w:r>
      <w:r>
        <w:rPr>
          <w:rFonts w:hint="eastAsia"/>
          <w:bCs/>
        </w:rPr>
        <w:t>，其中地表水可供水量4226万</w:t>
      </w:r>
      <w:r>
        <w:rPr>
          <w:bCs/>
        </w:rPr>
        <w:t>m</w:t>
      </w:r>
      <w:r>
        <w:rPr>
          <w:bCs/>
          <w:vertAlign w:val="superscript"/>
        </w:rPr>
        <w:t>3</w:t>
      </w:r>
      <w:r>
        <w:rPr>
          <w:rFonts w:hint="eastAsia"/>
          <w:bCs/>
        </w:rPr>
        <w:t>，地下水可供水量2000万</w:t>
      </w:r>
      <w:r>
        <w:rPr>
          <w:bCs/>
        </w:rPr>
        <w:t>m</w:t>
      </w:r>
      <w:r>
        <w:rPr>
          <w:bCs/>
          <w:vertAlign w:val="superscript"/>
        </w:rPr>
        <w:t>3</w:t>
      </w:r>
      <w:r>
        <w:rPr>
          <w:rFonts w:hint="eastAsia"/>
          <w:bCs/>
        </w:rPr>
        <w:t>，非常规水供水量199万</w:t>
      </w:r>
      <w:r>
        <w:rPr>
          <w:bCs/>
        </w:rPr>
        <w:t>m</w:t>
      </w:r>
      <w:r>
        <w:rPr>
          <w:bCs/>
          <w:vertAlign w:val="superscript"/>
        </w:rPr>
        <w:t>3</w:t>
      </w:r>
      <w:r>
        <w:rPr>
          <w:rFonts w:hint="eastAsia"/>
          <w:bCs/>
        </w:rPr>
        <w:t>。2035年</w:t>
      </w:r>
      <w:r>
        <w:rPr>
          <w:rFonts w:hint="eastAsia"/>
        </w:rPr>
        <w:t>额尔古纳市多年平均</w:t>
      </w:r>
      <w:r>
        <w:rPr>
          <w:rFonts w:hint="eastAsia"/>
          <w:bCs/>
        </w:rPr>
        <w:t>总需水量18065万</w:t>
      </w:r>
      <w:r>
        <w:rPr>
          <w:bCs/>
        </w:rPr>
        <w:t>m</w:t>
      </w:r>
      <w:r>
        <w:rPr>
          <w:bCs/>
          <w:vertAlign w:val="superscript"/>
        </w:rPr>
        <w:t>3</w:t>
      </w:r>
      <w:r>
        <w:rPr>
          <w:rFonts w:hint="eastAsia"/>
          <w:bCs/>
        </w:rPr>
        <w:t>，缺水量11640万</w:t>
      </w:r>
      <w:r>
        <w:rPr>
          <w:bCs/>
        </w:rPr>
        <w:t>m</w:t>
      </w:r>
      <w:r>
        <w:rPr>
          <w:bCs/>
          <w:vertAlign w:val="superscript"/>
        </w:rPr>
        <w:t>3</w:t>
      </w:r>
      <w:r>
        <w:t>，缺水率</w:t>
      </w:r>
      <w:r>
        <w:rPr>
          <w:rFonts w:hint="eastAsia"/>
        </w:rPr>
        <w:t>64.4</w:t>
      </w:r>
      <w:r>
        <w:t>%</w:t>
      </w:r>
      <w:r>
        <w:rPr>
          <w:rFonts w:hint="eastAsia"/>
          <w:bCs/>
        </w:rPr>
        <w:t>。缺水主要为新建大中型灌区发展和骨干水源工程不足共同导致的农业缺水。现状工程无法满足额尔古纳市未来发展的合理用水需求，亟需规划新建一批水源工程以保障额尔古纳市经济社会的高质量发展。</w:t>
      </w:r>
    </w:p>
    <w:p w14:paraId="2AE86C10">
      <w:pPr>
        <w:pStyle w:val="64"/>
      </w:pPr>
      <w:r>
        <w:rPr>
          <w:rFonts w:hint="eastAsia"/>
        </w:rPr>
        <w:t>4. 水资源配置方案</w:t>
      </w:r>
    </w:p>
    <w:p w14:paraId="17D2781D">
      <w:pPr>
        <w:pStyle w:val="82"/>
        <w:ind w:firstLine="651"/>
        <w:rPr>
          <w:b/>
          <w:bCs/>
        </w:rPr>
      </w:pPr>
      <w:bookmarkStart w:id="60" w:name="_Toc114673449"/>
      <w:r>
        <w:rPr>
          <w:rFonts w:hint="eastAsia"/>
          <w:b/>
          <w:bCs/>
        </w:rPr>
        <w:t>（1）</w:t>
      </w:r>
      <w:r>
        <w:rPr>
          <w:b/>
          <w:bCs/>
        </w:rPr>
        <w:t>配置</w:t>
      </w:r>
      <w:bookmarkEnd w:id="60"/>
      <w:r>
        <w:rPr>
          <w:rFonts w:hint="eastAsia"/>
          <w:b/>
          <w:bCs/>
        </w:rPr>
        <w:t>思路</w:t>
      </w:r>
    </w:p>
    <w:p w14:paraId="78BAE20E">
      <w:pPr>
        <w:pStyle w:val="82"/>
        <w:ind w:firstLine="648"/>
      </w:pPr>
      <w:r>
        <w:rPr>
          <w:rFonts w:hint="eastAsia"/>
        </w:rPr>
        <w:t>额尔古纳市作为我国重要的边境地区，额尔古纳河作为重要的中俄界河，坚持“高水高用，边水边用”原则，额尔古纳市规划水平年水资源配置总体配置思路为</w:t>
      </w:r>
      <w:r>
        <w:t>“</w:t>
      </w:r>
      <w:r>
        <w:rPr>
          <w:rFonts w:hint="eastAsia"/>
        </w:rPr>
        <w:t>适度开发地表水、控制利用地下水、加大利用再生水</w:t>
      </w:r>
      <w:r>
        <w:t>”</w:t>
      </w:r>
      <w:r>
        <w:rPr>
          <w:rFonts w:hint="eastAsia"/>
        </w:rPr>
        <w:t>。</w:t>
      </w:r>
      <w:bookmarkStart w:id="61" w:name="_Hlk205446346"/>
      <w:bookmarkStart w:id="62" w:name="_Hlk204694955"/>
      <w:r>
        <w:rPr>
          <w:rFonts w:hint="eastAsia"/>
          <w:b/>
          <w:bCs/>
        </w:rPr>
        <w:t>适度开发地表水</w:t>
      </w:r>
      <w:bookmarkEnd w:id="61"/>
      <w:r>
        <w:t>——</w:t>
      </w:r>
      <w:bookmarkEnd w:id="62"/>
      <w:r>
        <w:rPr>
          <w:rFonts w:hint="eastAsia"/>
        </w:rPr>
        <w:t>充分挖掘地表水开发利用潜力，提高地表水开发利用率。一是通过建设水库、泵站、调蓄池等调蓄工程，合理加大根河、哈乌鲁河、激流河干流的开发利用程度；二是通过建设小型水源工程和田间提蓄工程等充分利用雨洪水资源和冬闲水资源；三是通过根河与得尔布干河连通工程建设，储备莫尔道嘎河—哈乌鲁河连通工程建设，打通流域间、上下游、农垦集团与地方水系通道，实现水资源空间均衡的通道，形成丰枯互济、多源互补的全市水资源配置格局。</w:t>
      </w:r>
      <w:r>
        <w:rPr>
          <w:rFonts w:hint="eastAsia"/>
          <w:b/>
          <w:bCs/>
        </w:rPr>
        <w:t>控制利用地下水</w:t>
      </w:r>
      <w:r>
        <w:t>——</w:t>
      </w:r>
      <w:r>
        <w:rPr>
          <w:rFonts w:hint="eastAsia"/>
        </w:rPr>
        <w:t>结合地表水挖潜和全面节水，合理开采地下水，将地下水开发利用严格控制在红线以内。</w:t>
      </w:r>
      <w:r>
        <w:rPr>
          <w:rFonts w:hint="eastAsia"/>
          <w:b/>
          <w:bCs/>
        </w:rPr>
        <w:t>加大利用再生水</w:t>
      </w:r>
      <w:r>
        <w:t>——</w:t>
      </w:r>
      <w:r>
        <w:rPr>
          <w:rFonts w:hint="eastAsia"/>
        </w:rPr>
        <w:t>因地制宜建设中水调蓄工程，配套建设再生水配水管网，推进绿化用水与生活用水逐步实现分管分质供水。</w:t>
      </w:r>
    </w:p>
    <w:p w14:paraId="7EC22E20">
      <w:pPr>
        <w:pStyle w:val="82"/>
        <w:ind w:firstLine="651"/>
        <w:rPr>
          <w:b/>
          <w:bCs/>
        </w:rPr>
      </w:pPr>
      <w:r>
        <w:rPr>
          <w:rFonts w:hint="eastAsia"/>
          <w:b/>
          <w:bCs/>
        </w:rPr>
        <w:t>（2）水资源配置方案</w:t>
      </w:r>
    </w:p>
    <w:p w14:paraId="7B537AC3">
      <w:pPr>
        <w:pStyle w:val="82"/>
        <w:ind w:firstLine="651"/>
      </w:pPr>
      <w:r>
        <w:rPr>
          <w:rFonts w:hint="eastAsia"/>
          <w:b/>
          <w:bCs/>
        </w:rPr>
        <w:t>总体配置。</w:t>
      </w:r>
      <w:r>
        <w:rPr>
          <w:rFonts w:hint="eastAsia"/>
        </w:rPr>
        <w:t>到2035年，额尔古纳市多年平均配置水量为18065万m</w:t>
      </w:r>
      <w:r>
        <w:rPr>
          <w:rFonts w:hint="eastAsia"/>
          <w:vertAlign w:val="superscript"/>
        </w:rPr>
        <w:t>3</w:t>
      </w:r>
      <w:r>
        <w:rPr>
          <w:rFonts w:hint="eastAsia"/>
        </w:rPr>
        <w:t>，整体不缺水。通过挖掘现状工程供水潜力，科学谋划水资源大规模蓄水池、泵站等调蓄工程，增加地表水供水量。</w:t>
      </w:r>
    </w:p>
    <w:p w14:paraId="7BC5347E">
      <w:pPr>
        <w:pStyle w:val="82"/>
        <w:ind w:firstLine="651"/>
        <w:rPr>
          <w:bCs/>
        </w:rPr>
      </w:pPr>
      <w:r>
        <w:rPr>
          <w:rFonts w:hint="eastAsia"/>
          <w:b/>
          <w:bCs/>
        </w:rPr>
        <w:t>分水源配置方案。</w:t>
      </w:r>
      <w:r>
        <w:rPr>
          <w:rFonts w:hint="eastAsia"/>
        </w:rPr>
        <w:t>到</w:t>
      </w:r>
      <w:r>
        <w:rPr>
          <w:bCs/>
        </w:rPr>
        <w:t>2035</w:t>
      </w:r>
      <w:r>
        <w:rPr>
          <w:rFonts w:hint="eastAsia"/>
          <w:bCs/>
        </w:rPr>
        <w:t>年，</w:t>
      </w:r>
      <w:r>
        <w:rPr>
          <w:rFonts w:hint="eastAsia"/>
        </w:rPr>
        <w:t>额尔古纳市多年平均配置</w:t>
      </w:r>
      <w:r>
        <w:rPr>
          <w:rFonts w:hint="eastAsia"/>
          <w:bCs/>
        </w:rPr>
        <w:t>水量</w:t>
      </w:r>
      <w:r>
        <w:rPr>
          <w:rFonts w:hint="eastAsia"/>
        </w:rPr>
        <w:t>18065万m</w:t>
      </w:r>
      <w:r>
        <w:rPr>
          <w:rFonts w:hint="eastAsia"/>
          <w:vertAlign w:val="superscript"/>
        </w:rPr>
        <w:t>3</w:t>
      </w:r>
      <w:r>
        <w:rPr>
          <w:rFonts w:hint="eastAsia"/>
          <w:bCs/>
        </w:rPr>
        <w:t>，其中地表水配置水量为</w:t>
      </w:r>
      <w:r>
        <w:rPr>
          <w:rFonts w:hint="eastAsia"/>
        </w:rPr>
        <w:t>15865万</w:t>
      </w:r>
      <w:r>
        <w:rPr>
          <w:bCs/>
        </w:rPr>
        <w:t>m</w:t>
      </w:r>
      <w:r>
        <w:rPr>
          <w:bCs/>
          <w:vertAlign w:val="superscript"/>
        </w:rPr>
        <w:t>3</w:t>
      </w:r>
      <w:r>
        <w:rPr>
          <w:rFonts w:hint="eastAsia"/>
          <w:bCs/>
        </w:rPr>
        <w:t>，地下水配置水量</w:t>
      </w:r>
      <w:r>
        <w:rPr>
          <w:rFonts w:hint="eastAsia"/>
        </w:rPr>
        <w:t>2000</w:t>
      </w:r>
      <w:r>
        <w:rPr>
          <w:rFonts w:hint="eastAsia"/>
          <w:bCs/>
        </w:rPr>
        <w:t>万</w:t>
      </w:r>
      <w:r>
        <w:rPr>
          <w:bCs/>
        </w:rPr>
        <w:t>m</w:t>
      </w:r>
      <w:r>
        <w:rPr>
          <w:bCs/>
          <w:vertAlign w:val="superscript"/>
        </w:rPr>
        <w:t>3</w:t>
      </w:r>
      <w:r>
        <w:rPr>
          <w:rFonts w:hint="eastAsia"/>
          <w:bCs/>
        </w:rPr>
        <w:t>，再生水配置水量</w:t>
      </w:r>
      <w:r>
        <w:rPr>
          <w:rFonts w:hint="eastAsia"/>
        </w:rPr>
        <w:t>199</w:t>
      </w:r>
      <w:r>
        <w:rPr>
          <w:rFonts w:hint="eastAsia"/>
          <w:bCs/>
        </w:rPr>
        <w:t>万</w:t>
      </w:r>
      <w:r>
        <w:rPr>
          <w:bCs/>
        </w:rPr>
        <w:t>m</w:t>
      </w:r>
      <w:r>
        <w:rPr>
          <w:bCs/>
          <w:vertAlign w:val="superscript"/>
        </w:rPr>
        <w:t>3</w:t>
      </w:r>
      <w:r>
        <w:rPr>
          <w:rFonts w:hint="eastAsia"/>
          <w:bCs/>
        </w:rPr>
        <w:t>。</w:t>
      </w:r>
    </w:p>
    <w:p w14:paraId="20A65A04">
      <w:pPr>
        <w:pStyle w:val="82"/>
        <w:ind w:firstLine="651"/>
      </w:pPr>
      <w:r>
        <w:rPr>
          <w:rFonts w:hint="eastAsia"/>
          <w:b/>
          <w:bCs/>
        </w:rPr>
        <w:t>分行业配置方案。</w:t>
      </w:r>
      <w:r>
        <w:rPr>
          <w:rFonts w:hint="eastAsia"/>
        </w:rPr>
        <w:t>到2035年，额尔古纳市多年平均生活、工业、农业和生态配置水量分别为475万m</w:t>
      </w:r>
      <w:r>
        <w:rPr>
          <w:rFonts w:hint="eastAsia"/>
          <w:vertAlign w:val="superscript"/>
        </w:rPr>
        <w:t>3</w:t>
      </w:r>
      <w:r>
        <w:rPr>
          <w:rFonts w:hint="eastAsia"/>
        </w:rPr>
        <w:t>、327万m</w:t>
      </w:r>
      <w:r>
        <w:rPr>
          <w:rFonts w:hint="eastAsia"/>
          <w:vertAlign w:val="superscript"/>
        </w:rPr>
        <w:t>3</w:t>
      </w:r>
      <w:r>
        <w:rPr>
          <w:rFonts w:hint="eastAsia"/>
        </w:rPr>
        <w:t>、17065万m</w:t>
      </w:r>
      <w:r>
        <w:rPr>
          <w:rFonts w:hint="eastAsia"/>
          <w:vertAlign w:val="superscript"/>
        </w:rPr>
        <w:t>3</w:t>
      </w:r>
      <w:r>
        <w:rPr>
          <w:rFonts w:hint="eastAsia"/>
        </w:rPr>
        <w:t>、199万m</w:t>
      </w:r>
      <w:r>
        <w:rPr>
          <w:rFonts w:hint="eastAsia"/>
          <w:vertAlign w:val="superscript"/>
        </w:rPr>
        <w:t>3</w:t>
      </w:r>
      <w:r>
        <w:rPr>
          <w:rFonts w:hint="eastAsia"/>
        </w:rPr>
        <w:t>，占比2.6:1.8:94.5:1.1。</w:t>
      </w:r>
    </w:p>
    <w:p w14:paraId="46BED9D7">
      <w:pPr>
        <w:pStyle w:val="64"/>
      </w:pPr>
      <w:r>
        <w:rPr>
          <w:rFonts w:hint="eastAsia"/>
        </w:rPr>
        <w:t>5. 加强水资源配置工程建设</w:t>
      </w:r>
    </w:p>
    <w:p w14:paraId="0BAC6D8F">
      <w:pPr>
        <w:pStyle w:val="82"/>
        <w:ind w:firstLine="648"/>
        <w:rPr>
          <w:bCs/>
        </w:rPr>
      </w:pPr>
      <w:r>
        <w:rPr>
          <w:rFonts w:hint="eastAsia"/>
          <w:bCs/>
        </w:rPr>
        <w:t>积极对接自治区水网、呼伦贝尔市水网，在现有工程的基础上，按照“确有需要、生态安全、可以持续”的原则，统筹规划一批水资源配置工程，增加水资源调蓄能力，提高水资源空间调配能力，筑牢额尔古纳市水网重要蓄水节点。</w:t>
      </w:r>
    </w:p>
    <w:p w14:paraId="2C2441F0">
      <w:pPr>
        <w:pStyle w:val="82"/>
        <w:ind w:firstLine="648"/>
        <w:rPr>
          <w:bCs/>
        </w:rPr>
      </w:pPr>
      <w:r>
        <w:rPr>
          <w:rFonts w:hint="eastAsia"/>
          <w:bCs/>
        </w:rPr>
        <w:t>综合考虑用水需求、建设条件、移民占地情况、生态保护要求等因素，积极推进水库工程建设，实现额尔古纳市水网与自治区、市级骨干网的互联互通。推进</w:t>
      </w:r>
      <w:r>
        <w:rPr>
          <w:rFonts w:hint="eastAsia"/>
        </w:rPr>
        <w:t>根河支流依根河、得尔布干河及支流巴尔扎贯沟、哈乌鲁河提水泵站及蓄水池工程建设。</w:t>
      </w:r>
      <w:r>
        <w:rPr>
          <w:rFonts w:hint="eastAsia"/>
          <w:bCs/>
        </w:rPr>
        <w:t>积极推进根河-得尔布干河、哈乌鲁河-阿拉斯魏尔谷河连通工程建设。协同推进城乡水资源配置工程建设，打通城乡供水保障“最后一公里”，逐步形成“骨干为主、多源互补、跨河调配”的供水保障体系。</w:t>
      </w:r>
    </w:p>
    <w:p w14:paraId="5AED8558">
      <w:pPr>
        <w:pStyle w:val="34"/>
      </w:pPr>
      <w:bookmarkStart w:id="63" w:name="_Toc216964758"/>
      <w:r>
        <w:rPr>
          <w:rFonts w:hint="eastAsia"/>
        </w:rPr>
        <w:t>（三）加强城镇供水体系建设</w:t>
      </w:r>
      <w:bookmarkEnd w:id="63"/>
    </w:p>
    <w:p w14:paraId="393D73FF">
      <w:pPr>
        <w:pStyle w:val="82"/>
        <w:ind w:firstLine="648"/>
        <w:rPr>
          <w:bCs/>
        </w:rPr>
      </w:pPr>
      <w:r>
        <w:rPr>
          <w:rFonts w:hint="eastAsia"/>
          <w:bCs/>
        </w:rPr>
        <w:t>额尔古纳市水资源丰富，但缺乏控制性工程，</w:t>
      </w:r>
      <w:r>
        <w:rPr>
          <w:rFonts w:hint="eastAsia"/>
        </w:rPr>
        <w:t>现状城镇生活主要为地下水，工业用水主要为地下水和再生水。额尔古纳市</w:t>
      </w:r>
      <w:r>
        <w:rPr>
          <w:rFonts w:hint="eastAsia"/>
          <w:bCs/>
        </w:rPr>
        <w:t>地处高寒气候，冻土深度大，且有永久冻土区，城乡供水一体化实施难度较大。</w:t>
      </w:r>
    </w:p>
    <w:p w14:paraId="1AF39626">
      <w:pPr>
        <w:pStyle w:val="82"/>
        <w:ind w:firstLine="648"/>
        <w:rPr>
          <w:bCs/>
        </w:rPr>
      </w:pPr>
      <w:r>
        <w:rPr>
          <w:rFonts w:hint="eastAsia"/>
          <w:bCs/>
        </w:rPr>
        <w:t>2035年，额尔古纳市仍以现状地下水源为主水源，依托现有已建水源工程，因地制宜推进“大水源、大水厂、大管网”建设，加强中心城区供水基础设施建设，完善城区供水网络体系；备用水源方面，坚持底线思维、超前谋划，按照“一主一备”的要求，以现状地下水源作为备用水源。</w:t>
      </w:r>
      <w:r>
        <w:rPr>
          <w:rFonts w:hint="eastAsia"/>
        </w:rPr>
        <w:t>同时考虑根河、得尔布干河、哈乌鲁河流域调蓄池地表水源作为中心城区和沿线城镇的应急备用水源。当城区主水源出现供水不足或水污染事故影响供水时，启动备用水源，提升供水保证率。针对中心城区现有水源地（根河旁）水质季节性污染问题，规划实施水源保护、多介质过滤、封育管理、外围治理、生态修复等措施，改善水源地水质。</w:t>
      </w:r>
    </w:p>
    <w:p w14:paraId="216F268B">
      <w:pPr>
        <w:pStyle w:val="82"/>
        <w:ind w:firstLine="648"/>
      </w:pPr>
      <w:r>
        <w:rPr>
          <w:rFonts w:hint="eastAsia"/>
          <w:bCs/>
        </w:rPr>
        <w:t>到2050年，随着水库等重点骨干工程建设，额尔古纳市将构建覆盖城镇的地表水供水网络系统，同时将大幅提升</w:t>
      </w:r>
      <w:r>
        <w:rPr>
          <w:rFonts w:hint="eastAsia"/>
        </w:rPr>
        <w:t>应急备用水源和战略水源储备能力。</w:t>
      </w:r>
    </w:p>
    <w:p w14:paraId="434E82B8">
      <w:pPr>
        <w:pStyle w:val="34"/>
      </w:pPr>
      <w:bookmarkStart w:id="64" w:name="_Toc216964759"/>
      <w:r>
        <w:rPr>
          <w:rFonts w:hint="eastAsia"/>
        </w:rPr>
        <w:t>（四）推动农村牧区供水高质量发展</w:t>
      </w:r>
      <w:bookmarkEnd w:id="64"/>
    </w:p>
    <w:p w14:paraId="1AD9D53C">
      <w:pPr>
        <w:pStyle w:val="82"/>
        <w:ind w:firstLine="648"/>
      </w:pPr>
      <w:r>
        <w:rPr>
          <w:rFonts w:hint="eastAsia"/>
        </w:rPr>
        <w:t>额尔古纳市各乡镇常住人口为3.31万人，其中使用自来水人口为2.45人，自来水普及率为71.2%；集中供水人口71664人，集中供水率为82%。根据《呼伦贝尔市额尔古纳市国土空间总体规划（2021-2035）》，至2035 年嘎查、村、农牧场居民点自来水普及率达到90%以上。</w:t>
      </w:r>
    </w:p>
    <w:p w14:paraId="6D897939">
      <w:pPr>
        <w:pStyle w:val="82"/>
        <w:ind w:firstLine="648"/>
      </w:pPr>
      <w:r>
        <w:rPr>
          <w:rFonts w:hint="eastAsia"/>
        </w:rPr>
        <w:t>立足额尔古纳市现状农村牧区供水网络现状，打造以规模化供水为骨干、小型规范化集中供水和零星分散供水为补充的供水布局。</w:t>
      </w:r>
    </w:p>
    <w:p w14:paraId="664551E6">
      <w:pPr>
        <w:pStyle w:val="82"/>
        <w:ind w:firstLine="648"/>
      </w:pPr>
      <w:r>
        <w:rPr>
          <w:rFonts w:hint="eastAsia"/>
        </w:rPr>
        <w:t>按照因地制宜、城乡统筹的原则，考虑额尔古纳市高寒气候特征，适条件实施城乡供水一体化，大力推进规模化农村集中供水工程，扩大规模化供水工程覆盖范围。</w:t>
      </w:r>
    </w:p>
    <w:p w14:paraId="62B252AF">
      <w:pPr>
        <w:pStyle w:val="82"/>
        <w:ind w:firstLine="648"/>
      </w:pPr>
      <w:r>
        <w:rPr>
          <w:rFonts w:hint="eastAsia"/>
        </w:rPr>
        <w:t>规模化工程难以覆盖的区域，通过以大并小，小小联合和达标改造等措施，推进小型供水工程规范化建设改造，压减分散供水覆盖人口，整体提升农村供水水平。</w:t>
      </w:r>
    </w:p>
    <w:p w14:paraId="391B7B81">
      <w:pPr>
        <w:pStyle w:val="82"/>
        <w:ind w:firstLine="648"/>
      </w:pPr>
      <w:r>
        <w:rPr>
          <w:rFonts w:hint="eastAsia"/>
        </w:rPr>
        <w:t>配合有关部门对水源地生态环境保护工作的监督和管理，强化小型供水工程水源保护措施。集中规模化供水工程全面开展水质自检。</w:t>
      </w:r>
    </w:p>
    <w:p w14:paraId="298A0436">
      <w:pPr>
        <w:pStyle w:val="82"/>
        <w:ind w:firstLine="648"/>
      </w:pPr>
      <w:r>
        <w:rPr>
          <w:rFonts w:hint="eastAsia"/>
        </w:rPr>
        <w:t>更新改造一批老旧供水工程和管网，补齐农村供水工程短板。改造早期建设且管道材质较差、管网漏损率较大的老旧农村供水工程和管网。千人以上工程配套完善水质净化消毒设备和计量设备，推行“一户一表”建设和改造。</w:t>
      </w:r>
    </w:p>
    <w:p w14:paraId="7DE67367">
      <w:pPr>
        <w:pStyle w:val="82"/>
        <w:ind w:firstLine="648"/>
      </w:pPr>
      <w:r>
        <w:rPr>
          <w:rFonts w:hint="eastAsia"/>
        </w:rPr>
        <w:t>全面落实农村供水管理地方人民政府主体责任、水行政主管等部门行业监管责任、供水单位运行管理责任“三个责任”，健全完善县级农村供水工程运行管理机构、办法和经费“三项制度”，推进县域统一管理，加强专业化管护，完善水价形成和水费收缴机制。探索完善监督机制，推进供水工程标准化管理。</w:t>
      </w:r>
    </w:p>
    <w:p w14:paraId="4561AC30">
      <w:pPr>
        <w:pStyle w:val="82"/>
        <w:ind w:firstLine="648"/>
      </w:pPr>
      <w:r>
        <w:rPr>
          <w:rFonts w:hint="eastAsia"/>
        </w:rPr>
        <w:t>推进农村供水工程管理信息化、智慧化，运用远程监控、在线监测、实时预警等技术手段实现智慧监控，保障农村供水工程安全运行；全面推进农村牧区集中供水计量收费制度，集中供水全面计量收费，强化水利执法。</w:t>
      </w:r>
    </w:p>
    <w:p w14:paraId="452F2820">
      <w:pPr>
        <w:pStyle w:val="82"/>
        <w:ind w:firstLine="648"/>
      </w:pPr>
      <w:r>
        <w:rPr>
          <w:rFonts w:hint="eastAsia"/>
        </w:rPr>
        <w:t>建立健全供水保障体系，加强应急备用水源建设，鼓励集中供水工程联网并网、联调联供，提升抗风险能力，制定应急供水预案、定期开展应急演练等，加强水源水量水质动态监测，落实应急措施。</w:t>
      </w:r>
    </w:p>
    <w:p w14:paraId="29D29F0F">
      <w:pPr>
        <w:pStyle w:val="82"/>
        <w:ind w:firstLine="648"/>
      </w:pPr>
      <w:r>
        <w:rPr>
          <w:rFonts w:hint="eastAsia"/>
        </w:rPr>
        <w:t>到2035年，形成布局完善、设施集约安全、管护规范专业、服务优质高效的农村牧区供水高质量发展格局。农村牧区自来水普及率明显提升，城乡供水一体化、集中供水规模化覆盖农村牧区人口比例有所提升，小型供水工程规范化建设和改造全面提升，计量收费工程比例大幅提升；农村牧区供水水质总体达到城区供水水质水平；农村供水力争实现县域统管，牧区供水实现县域专业化服务基本覆盖；农村牧区供水基本实现供水现代化。</w:t>
      </w:r>
    </w:p>
    <w:p w14:paraId="45558E44">
      <w:pPr>
        <w:pStyle w:val="34"/>
      </w:pPr>
      <w:bookmarkStart w:id="65" w:name="_Toc216964760"/>
      <w:bookmarkStart w:id="66" w:name="_Toc24610"/>
      <w:r>
        <w:rPr>
          <w:rFonts w:hint="eastAsia"/>
        </w:rPr>
        <w:t>（五）战略储备水源建设</w:t>
      </w:r>
      <w:bookmarkEnd w:id="65"/>
      <w:bookmarkEnd w:id="66"/>
    </w:p>
    <w:p w14:paraId="3B1BAF70">
      <w:pPr>
        <w:pStyle w:val="82"/>
        <w:ind w:firstLine="648"/>
      </w:pPr>
      <w:r>
        <w:rPr>
          <w:rFonts w:hint="eastAsia"/>
        </w:rPr>
        <w:t>为应对突发情况的水资源短缺风险，提前谋划，超前布局，加强战略储备水源和输配水工程建设，规划至2050年，将具备开发利用潜力的水源地作为额尔古纳市补充战略水源，全力保障供水安全，同时进一步完善输配水通道，提高对水资源的灵活调配能力，满足不同时段多目标用水需求。</w:t>
      </w:r>
    </w:p>
    <w:p w14:paraId="210F8795">
      <w:pPr>
        <w:pStyle w:val="82"/>
        <w:ind w:firstLine="648"/>
      </w:pPr>
      <w:r>
        <w:rPr>
          <w:rFonts w:hint="eastAsia"/>
        </w:rPr>
        <w:t>规划至2050年，将水库地表水作为额尔古纳市生产生活战略储备水源；储备莫尔道嘎河-哈乌鲁河连通工程，以解决未来农业灌溉缺水问题。</w:t>
      </w:r>
    </w:p>
    <w:p w14:paraId="52EF504A">
      <w:pPr>
        <w:pStyle w:val="33"/>
        <w:rPr>
          <w:rFonts w:hint="eastAsia"/>
        </w:rPr>
        <w:sectPr>
          <w:pgSz w:w="11906" w:h="16838"/>
          <w:pgMar w:top="1418" w:right="1418" w:bottom="1418" w:left="1418" w:header="851" w:footer="992" w:gutter="0"/>
          <w:cols w:space="425" w:num="1"/>
          <w:docGrid w:type="lines" w:linePitch="312" w:charSpace="0"/>
        </w:sectPr>
      </w:pPr>
    </w:p>
    <w:p w14:paraId="0681210E">
      <w:pPr>
        <w:pStyle w:val="208"/>
        <w:rPr>
          <w:rFonts w:hint="eastAsia"/>
        </w:rPr>
      </w:pPr>
      <w:bookmarkStart w:id="67" w:name="_Toc216964761"/>
      <w:r>
        <w:rPr>
          <w:rFonts w:hint="eastAsia"/>
        </w:rPr>
        <w:t>五、构建灌溉排水网</w:t>
      </w:r>
      <w:bookmarkEnd w:id="67"/>
    </w:p>
    <w:p w14:paraId="39B0EE8D">
      <w:pPr>
        <w:pStyle w:val="34"/>
      </w:pPr>
      <w:bookmarkStart w:id="68" w:name="_Toc216964762"/>
      <w:r>
        <w:rPr>
          <w:rFonts w:hint="eastAsia"/>
        </w:rPr>
        <w:t>（一）建设思路</w:t>
      </w:r>
      <w:bookmarkEnd w:id="68"/>
    </w:p>
    <w:p w14:paraId="75EF3D44">
      <w:pPr>
        <w:pStyle w:val="82"/>
        <w:ind w:firstLine="648"/>
        <w:rPr>
          <w:bCs/>
        </w:rPr>
      </w:pPr>
      <w:bookmarkStart w:id="69" w:name="_Hlk187920047"/>
      <w:r>
        <w:rPr>
          <w:rFonts w:hint="eastAsia"/>
        </w:rPr>
        <w:t>围绕支撑国家粮食安全战略、自治区重要农产品生产基地的战略要求，</w:t>
      </w:r>
      <w:bookmarkEnd w:id="69"/>
      <w:r>
        <w:rPr>
          <w:rFonts w:hint="eastAsia"/>
        </w:rPr>
        <w:t>充分衔接全国农田灌溉发展规划，加快</w:t>
      </w:r>
      <w:r>
        <w:rPr>
          <w:rFonts w:hint="eastAsia"/>
          <w:bCs/>
        </w:rPr>
        <w:t>推进现有灌区续建配套与现代化改造，补齐灌区基础设施短板，同时依托水源工程建设，加快新建一批灌区工程，</w:t>
      </w:r>
      <w:r>
        <w:rPr>
          <w:rFonts w:hint="eastAsia"/>
        </w:rPr>
        <w:t>基本构建“设施完善、技术先进、管理科学、用水高效、生态良好、保障有力”的现代化灌溉体系，全力保障额尔古纳市农业发展新格局，形成全市灌溉管线“一张网”。规划</w:t>
      </w:r>
      <w:r>
        <w:rPr>
          <w:rFonts w:hint="eastAsia"/>
          <w:bCs/>
        </w:rPr>
        <w:t>至</w:t>
      </w:r>
      <w:r>
        <w:rPr>
          <w:bCs/>
        </w:rPr>
        <w:t>2035</w:t>
      </w:r>
      <w:r>
        <w:rPr>
          <w:rFonts w:hint="eastAsia"/>
          <w:bCs/>
        </w:rPr>
        <w:t>年，全市灌溉面积达到195.3万亩，较现状新增灌溉面积为90.9万亩。同时，积极推进朝阳、向阳、大立山等22处已建中型灌区续建配套与现代化改造。</w:t>
      </w:r>
    </w:p>
    <w:p w14:paraId="71209C6F">
      <w:pPr>
        <w:pStyle w:val="34"/>
      </w:pPr>
      <w:bookmarkStart w:id="70" w:name="_Toc216964763"/>
      <w:r>
        <w:rPr>
          <w:rFonts w:hint="eastAsia"/>
        </w:rPr>
        <w:t>（二）推进灌溉水源工程建设</w:t>
      </w:r>
      <w:bookmarkEnd w:id="70"/>
    </w:p>
    <w:p w14:paraId="6BB5243F">
      <w:pPr>
        <w:pStyle w:val="64"/>
      </w:pPr>
      <w:r>
        <w:rPr>
          <w:rFonts w:hint="eastAsia"/>
        </w:rPr>
        <w:t>1. 加快调蓄工程建设</w:t>
      </w:r>
    </w:p>
    <w:p w14:paraId="5DD327E6">
      <w:pPr>
        <w:pStyle w:val="82"/>
        <w:ind w:firstLine="648"/>
      </w:pPr>
      <w:r>
        <w:rPr>
          <w:rFonts w:hint="eastAsia"/>
        </w:rPr>
        <w:t>聚焦额尔古纳市地表水调控能力不足的问题，按照</w:t>
      </w:r>
      <w:r>
        <w:t>“</w:t>
      </w:r>
      <w:r>
        <w:rPr>
          <w:rFonts w:hint="eastAsia"/>
        </w:rPr>
        <w:t>先挖潜、后新建</w:t>
      </w:r>
      <w:r>
        <w:t>”</w:t>
      </w:r>
      <w:r>
        <w:rPr>
          <w:rFonts w:hint="eastAsia"/>
        </w:rPr>
        <w:t>的要求，谋划一批打基础、管长远、惠民生的蓄水工程，规划在根河、依根河、得尔布干河、哈乌鲁河新建调蓄池以及泵站等水源工程建设，筑牢水资源配置结点，增加地表水调蓄能力，提高灌溉供水保证率。</w:t>
      </w:r>
    </w:p>
    <w:p w14:paraId="34AE524A">
      <w:pPr>
        <w:pStyle w:val="82"/>
        <w:ind w:firstLine="648"/>
      </w:pPr>
      <w:r>
        <w:rPr>
          <w:rFonts w:hint="eastAsia"/>
        </w:rPr>
        <w:t>规划在根河支流依根河、得尔布干河干流及支流巴尔扎贯沟、哈乌鲁河干流旁侧新建大规模蓄水池共7座，单座调蓄容积介于350~600万m</w:t>
      </w:r>
      <w:r>
        <w:rPr>
          <w:rFonts w:hint="eastAsia"/>
          <w:vertAlign w:val="superscript"/>
        </w:rPr>
        <w:t>3</w:t>
      </w:r>
      <w:r>
        <w:rPr>
          <w:rFonts w:hint="eastAsia"/>
        </w:rPr>
        <w:t>。其余规模较小且不足50m</w:t>
      </w:r>
      <w:r>
        <w:rPr>
          <w:rFonts w:hint="eastAsia"/>
          <w:vertAlign w:val="superscript"/>
        </w:rPr>
        <w:t>3</w:t>
      </w:r>
      <w:r>
        <w:rPr>
          <w:rFonts w:hint="eastAsia"/>
        </w:rPr>
        <w:t>调蓄池主要分布在灌区内，不作为区域重点调蓄工程。</w:t>
      </w:r>
    </w:p>
    <w:p w14:paraId="4026B62D">
      <w:pPr>
        <w:pStyle w:val="64"/>
        <w:ind w:firstLineChars="0"/>
      </w:pPr>
      <w:r>
        <w:rPr>
          <w:rFonts w:hint="eastAsia"/>
        </w:rPr>
        <w:t>2. 谋划战略储备水源工程</w:t>
      </w:r>
    </w:p>
    <w:p w14:paraId="46A4A022">
      <w:pPr>
        <w:pStyle w:val="82"/>
        <w:ind w:firstLine="648"/>
      </w:pPr>
      <w:r>
        <w:rPr>
          <w:rFonts w:hint="eastAsia"/>
        </w:rPr>
        <w:t>为应对干旱、水污染等造成的水资源短缺风险，提前谋划，超前布局，加强战略储备水源和输配水工程建设，规划至</w:t>
      </w:r>
      <w:r>
        <w:t>2050</w:t>
      </w:r>
      <w:r>
        <w:rPr>
          <w:rFonts w:hint="eastAsia"/>
        </w:rPr>
        <w:t>年，推进境内输配水工程建设、河河连通工程建设，作为全市大中型灌区战略储备水源，全力保障农业供水安全。</w:t>
      </w:r>
    </w:p>
    <w:p w14:paraId="3A8D19A6">
      <w:pPr>
        <w:pStyle w:val="34"/>
      </w:pPr>
      <w:bookmarkStart w:id="71" w:name="_Toc216964764"/>
      <w:r>
        <w:rPr>
          <w:rFonts w:hint="eastAsia"/>
        </w:rPr>
        <w:t>（三）推进中型灌区续建配套和现代化改造</w:t>
      </w:r>
      <w:bookmarkEnd w:id="71"/>
    </w:p>
    <w:p w14:paraId="0D090A81">
      <w:pPr>
        <w:pStyle w:val="82"/>
        <w:ind w:firstLine="648"/>
      </w:pPr>
      <w:r>
        <w:rPr>
          <w:rFonts w:hint="eastAsia"/>
        </w:rPr>
        <w:t>针对现状灌区存在的部分管道损坏、破损淤积、配套设施年久失修等问题，逐步开展管道维修、建设调蓄水池、配套设施完善和节水改造，加快灌溉基础设施提档升级，夯实灌区现代化改造基础。</w:t>
      </w:r>
    </w:p>
    <w:p w14:paraId="1C9EC273">
      <w:pPr>
        <w:pStyle w:val="82"/>
        <w:ind w:firstLine="648"/>
      </w:pPr>
      <w:r>
        <w:rPr>
          <w:rFonts w:hint="eastAsia"/>
        </w:rPr>
        <w:t>根据额尔古纳现状灌溉发展实际，与高标准农田建设相统筹，推动高效节水灌溉与高标准农田建设同步实施，选择建设条件较好的灌区，按照基础设施完备、生态建设良好、智能化程度高、运行管理高效的要求，打造现代化灌区。一是通过水源工程、管线工程和田间工程的提升改造夯实灌溉系统基础；二是通过水源工程信息化提升、用水计量系统建设和田间智能灌溉系统建设，开展灌区现代化提升；三是通过生态灌区建设、灌区绿网建设、灌区水文化建设开展灌区水生态文化建设；四是通过智慧感知体系、数据中心、传输网络及应用程序建设提升灌区智能化水平；五是基于灌区现代化基础设施建设，探索建立高效的运行管理制度。</w:t>
      </w:r>
    </w:p>
    <w:p w14:paraId="55A0186D">
      <w:pPr>
        <w:pStyle w:val="82"/>
        <w:ind w:firstLine="648"/>
      </w:pPr>
      <w:r>
        <w:rPr>
          <w:rFonts w:hint="eastAsia"/>
        </w:rPr>
        <w:t>全市现状已建中型灌区共23处，其中现状花木兰灌区续建配套与节水改造工程已全面完成，本次规划不再安排相关建设内容。到2035年，完成小库力灌区、白音扎拉嘎灌区、东西三荒漠区、新库力灌区、依根灌区、前进村灌区、振兴灌区、机耕灌区、团结灌区、泉永灌区、红旗灌区、建永灌区、得尔布灌区、大西山灌区、北山灌区、护林灌区、朝阳灌区、室韦灌区共22处中型灌区续建配套与现代化提升改造，同时建成覆盖全面的灌区计量系统和监控系统。</w:t>
      </w:r>
    </w:p>
    <w:p w14:paraId="75C6887B">
      <w:pPr>
        <w:pStyle w:val="34"/>
      </w:pPr>
      <w:bookmarkStart w:id="72" w:name="_Toc216964765"/>
      <w:r>
        <w:rPr>
          <w:rFonts w:hint="eastAsia"/>
        </w:rPr>
        <w:t>（四）推进新建大中型灌区建设</w:t>
      </w:r>
      <w:bookmarkEnd w:id="72"/>
    </w:p>
    <w:p w14:paraId="42A3ED06">
      <w:pPr>
        <w:pStyle w:val="82"/>
        <w:ind w:firstLine="648"/>
      </w:pPr>
      <w:r>
        <w:rPr>
          <w:rFonts w:hint="eastAsia"/>
        </w:rPr>
        <w:t>在水土资源条件适宜、耕地灌溉潜力大、水源建设条件相对较好的区域规划新建一批大中型现代化灌区工程，保障区域内粮食安全，助力自治区和呼伦贝尔市生态农畜林产品生产基地建设。规划新建大型灌区1处，中型灌区2处。以境内河流为主要水源，以泵站提水工程为主要水源工程，通过新建输水管线保障灌区农业灌溉供水。</w:t>
      </w:r>
    </w:p>
    <w:p w14:paraId="7034746F">
      <w:pPr>
        <w:pStyle w:val="33"/>
        <w:rPr>
          <w:rFonts w:hint="eastAsia"/>
        </w:rPr>
        <w:sectPr>
          <w:pgSz w:w="11906" w:h="16838"/>
          <w:pgMar w:top="1418" w:right="1418" w:bottom="1418" w:left="1418" w:header="851" w:footer="992" w:gutter="0"/>
          <w:cols w:space="425" w:num="1"/>
          <w:docGrid w:type="lines" w:linePitch="312" w:charSpace="0"/>
        </w:sectPr>
      </w:pPr>
      <w:bookmarkStart w:id="73" w:name="_Toc174614103"/>
    </w:p>
    <w:p w14:paraId="26E0564B">
      <w:pPr>
        <w:pStyle w:val="208"/>
        <w:rPr>
          <w:rFonts w:hint="eastAsia"/>
        </w:rPr>
      </w:pPr>
      <w:bookmarkStart w:id="74" w:name="_Toc216964766"/>
      <w:r>
        <w:rPr>
          <w:rFonts w:hint="eastAsia"/>
        </w:rPr>
        <w:t>六、构建河湖水生态保护网</w:t>
      </w:r>
      <w:bookmarkEnd w:id="73"/>
      <w:bookmarkEnd w:id="74"/>
    </w:p>
    <w:p w14:paraId="1D868CF6">
      <w:pPr>
        <w:pStyle w:val="34"/>
      </w:pPr>
      <w:bookmarkStart w:id="75" w:name="_Toc216964767"/>
      <w:r>
        <w:rPr>
          <w:rFonts w:hint="eastAsia"/>
        </w:rPr>
        <w:t>（一）建设思路</w:t>
      </w:r>
      <w:bookmarkEnd w:id="75"/>
    </w:p>
    <w:p w14:paraId="277E833F">
      <w:pPr>
        <w:pStyle w:val="82"/>
        <w:ind w:firstLine="648"/>
      </w:pPr>
      <w:r>
        <w:rPr>
          <w:rFonts w:hint="eastAsia"/>
        </w:rPr>
        <w:t>立足额尔古纳市地形地貌、河流水系特点、国土空间发展格局等因素，坚持山水林田湖草沙一体化保护和系统治理，统筹考虑上下游、干支流、岸上水域及水陆交错带的水流连续性、空间完整性和功能可持续性，构建</w:t>
      </w:r>
      <w:r>
        <w:rPr>
          <w:rFonts w:hint="eastAsia"/>
          <w:b/>
        </w:rPr>
        <w:t>“一屏、一带、一核、多点”</w:t>
      </w:r>
      <w:r>
        <w:rPr>
          <w:rFonts w:hint="eastAsia"/>
        </w:rPr>
        <w:t>的水生态保护修复总体布局，突出重点，因地制宜，营造环境稳定、功能可持续的水生态环境。</w:t>
      </w:r>
    </w:p>
    <w:p w14:paraId="1D354CFD">
      <w:pPr>
        <w:pStyle w:val="82"/>
        <w:ind w:firstLine="651"/>
      </w:pPr>
      <w:r>
        <w:rPr>
          <w:rFonts w:hint="eastAsia"/>
          <w:b/>
          <w:bCs/>
        </w:rPr>
        <w:t>一屏：</w:t>
      </w:r>
      <w:r>
        <w:rPr>
          <w:rFonts w:hint="eastAsia"/>
        </w:rPr>
        <w:t>指</w:t>
      </w:r>
      <w:r>
        <w:t>大兴安岭西麓山系生态安全屏障，</w:t>
      </w:r>
      <w:r>
        <w:rPr>
          <w:rFonts w:hint="eastAsia"/>
        </w:rPr>
        <w:t>重点维护水土涵养功能，</w:t>
      </w:r>
      <w:r>
        <w:t>营造多物种、多层次、多结构、多效益的生态安全屏障。</w:t>
      </w:r>
    </w:p>
    <w:p w14:paraId="4509A1A9">
      <w:pPr>
        <w:pStyle w:val="82"/>
        <w:ind w:firstLine="651"/>
      </w:pPr>
      <w:r>
        <w:rPr>
          <w:rFonts w:hint="eastAsia"/>
          <w:b/>
        </w:rPr>
        <w:t>一带：</w:t>
      </w:r>
      <w:r>
        <w:rPr>
          <w:rFonts w:hint="eastAsia"/>
          <w:bCs/>
        </w:rPr>
        <w:t>指</w:t>
      </w:r>
      <w:r>
        <w:t>额尔古纳河流域</w:t>
      </w:r>
      <w:r>
        <w:rPr>
          <w:rFonts w:hint="eastAsia"/>
        </w:rPr>
        <w:t>河湖生态保护修复带，强化对水生态环境的保护和修复，维持生态系统的健康稳定；严格水域岸线空间管控，维护河流水生态空间；保障河流基本生态流量，提升河流生态系统功能；重点打造根河生态廊道、得尔布干河生态廊道，保障河流防洪、排涝、灌溉、景观等多重功能的有效发挥。</w:t>
      </w:r>
    </w:p>
    <w:p w14:paraId="76886ADB">
      <w:pPr>
        <w:pStyle w:val="82"/>
        <w:ind w:firstLine="651"/>
      </w:pPr>
      <w:r>
        <w:rPr>
          <w:rFonts w:hint="eastAsia"/>
          <w:b/>
          <w:bCs/>
        </w:rPr>
        <w:t>一核：</w:t>
      </w:r>
      <w:r>
        <w:rPr>
          <w:rFonts w:hint="eastAsia"/>
        </w:rPr>
        <w:t>指额尔古纳城区滨水生态发展核。在保证河道行洪、水生态功能下，以人文化、体验化的开发思路，打造城区段滨水空间、亲水文化景观核心展示区，充分发挥河流生态服务功能，带动两岸滨水空间发展。</w:t>
      </w:r>
    </w:p>
    <w:p w14:paraId="26F2CB4C">
      <w:pPr>
        <w:pStyle w:val="82"/>
        <w:ind w:firstLine="651"/>
      </w:pPr>
      <w:r>
        <w:rPr>
          <w:rFonts w:hint="eastAsia"/>
          <w:b/>
          <w:bCs/>
        </w:rPr>
        <w:t>多点：</w:t>
      </w:r>
      <w:r>
        <w:rPr>
          <w:rFonts w:hint="eastAsia"/>
        </w:rPr>
        <w:t>指室韦自治区级自然保护区、莫尔道嘎国家森林公园、额尔古纳国家湿地公园、额尔古纳国家级风景名胜区、额尔古纳国家级自然保护区、额尔古纳湿地自治区级自然保护区等自然保护地、饮用水水源地、水土流失预防保护区和水土流失重点治理区，提升自然保护地的水土源涵养、重要生境维护、生物多样性等生态功能。</w:t>
      </w:r>
    </w:p>
    <w:p w14:paraId="55162555">
      <w:pPr>
        <w:pStyle w:val="34"/>
      </w:pPr>
      <w:bookmarkStart w:id="76" w:name="_Toc216964768"/>
      <w:bookmarkStart w:id="77" w:name="_Toc174614104"/>
      <w:r>
        <w:rPr>
          <w:rFonts w:hint="eastAsia"/>
        </w:rPr>
        <w:t>（二）加强水土流失治理</w:t>
      </w:r>
      <w:bookmarkEnd w:id="76"/>
    </w:p>
    <w:p w14:paraId="36E3094A">
      <w:pPr>
        <w:pStyle w:val="64"/>
      </w:pPr>
      <w:r>
        <w:rPr>
          <w:rFonts w:hint="eastAsia"/>
        </w:rPr>
        <w:t>1. 水土保持分区及布局</w:t>
      </w:r>
    </w:p>
    <w:p w14:paraId="38FA659C">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（1）水土保持分区</w:t>
      </w:r>
    </w:p>
    <w:p w14:paraId="6AB75E8A">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额尔古纳市隶属于呼伦贝尔市，其分区亦采用全国水土保持区划的三级区，根据全国水土保持区划，额尔古纳市属于东北黑土区一级区；大小兴安岭山地区二级区；大兴安岭山地水源涵养生态维护区三级区；额尔古纳市涉及大小兴安岭国家级水土流失重点预防区。额尔古纳市</w:t>
      </w:r>
      <w:r>
        <w:rPr>
          <w:rFonts w:eastAsia="仿宋_GB2312" w:cs="Times New Roman"/>
          <w:spacing w:val="2"/>
          <w:kern w:val="0"/>
          <w:sz w:val="32"/>
          <w:szCs w:val="28"/>
        </w:rPr>
        <w:t>水土保持分区见表</w:t>
      </w:r>
      <w:r>
        <w:rPr>
          <w:rFonts w:hint="eastAsia" w:eastAsia="仿宋_GB2312" w:cs="Times New Roman"/>
          <w:spacing w:val="2"/>
          <w:kern w:val="0"/>
          <w:sz w:val="32"/>
          <w:szCs w:val="28"/>
        </w:rPr>
        <w:t>6</w:t>
      </w:r>
      <w:r>
        <w:rPr>
          <w:rFonts w:eastAsia="仿宋_GB2312" w:cs="Times New Roman"/>
          <w:spacing w:val="2"/>
          <w:kern w:val="0"/>
          <w:sz w:val="32"/>
          <w:szCs w:val="28"/>
        </w:rPr>
        <w:t>.2-1。</w:t>
      </w:r>
    </w:p>
    <w:p w14:paraId="20C4948A">
      <w:pPr>
        <w:pStyle w:val="130"/>
        <w:spacing w:after="156"/>
      </w:pPr>
      <w:r>
        <w:t>表</w:t>
      </w:r>
      <w:r>
        <w:rPr>
          <w:rFonts w:hint="eastAsia"/>
        </w:rPr>
        <w:t>6.2-1</w:t>
      </w:r>
      <w:r>
        <w:t xml:space="preserve">  </w:t>
      </w:r>
      <w:r>
        <w:rPr>
          <w:rFonts w:hint="eastAsia"/>
        </w:rPr>
        <w:t>额尔古纳</w:t>
      </w:r>
      <w:r>
        <w:t>市水土保持分区</w:t>
      </w:r>
    </w:p>
    <w:tbl>
      <w:tblPr>
        <w:tblStyle w:val="23"/>
        <w:tblW w:w="5000" w:type="pct"/>
        <w:jc w:val="center"/>
        <w:tblLayout w:type="autofit"/>
        <w:tblCellMar>
          <w:top w:w="0" w:type="dxa"/>
          <w:left w:w="108" w:type="dxa"/>
          <w:bottom w:w="0" w:type="dxa"/>
          <w:right w:w="108" w:type="dxa"/>
        </w:tblCellMar>
      </w:tblPr>
      <w:tblGrid>
        <w:gridCol w:w="1593"/>
        <w:gridCol w:w="2180"/>
        <w:gridCol w:w="3924"/>
        <w:gridCol w:w="1589"/>
      </w:tblGrid>
      <w:tr w14:paraId="12FE8ADB">
        <w:tblPrEx>
          <w:tblCellMar>
            <w:top w:w="0" w:type="dxa"/>
            <w:left w:w="108" w:type="dxa"/>
            <w:bottom w:w="0" w:type="dxa"/>
            <w:right w:w="108" w:type="dxa"/>
          </w:tblCellMar>
        </w:tblPrEx>
        <w:trPr>
          <w:trHeight w:val="340" w:hRule="exact"/>
          <w:jc w:val="center"/>
        </w:trPr>
        <w:tc>
          <w:tcPr>
            <w:tcW w:w="4145" w:type="pct"/>
            <w:gridSpan w:val="3"/>
            <w:tcBorders>
              <w:top w:val="single" w:color="auto" w:sz="4" w:space="0"/>
              <w:left w:val="single" w:color="auto" w:sz="4" w:space="0"/>
              <w:bottom w:val="single" w:color="auto" w:sz="4" w:space="0"/>
              <w:right w:val="single" w:color="auto" w:sz="4" w:space="0"/>
            </w:tcBorders>
            <w:noWrap/>
            <w:vAlign w:val="center"/>
          </w:tcPr>
          <w:p w14:paraId="57599333">
            <w:pPr>
              <w:pStyle w:val="131"/>
              <w:rPr>
                <w:b/>
                <w:bCs/>
              </w:rPr>
            </w:pPr>
            <w:r>
              <w:rPr>
                <w:rFonts w:hint="eastAsia"/>
                <w:b/>
                <w:bCs/>
              </w:rPr>
              <w:t>全国水土保持分区</w:t>
            </w:r>
          </w:p>
        </w:tc>
        <w:tc>
          <w:tcPr>
            <w:tcW w:w="855" w:type="pct"/>
            <w:vMerge w:val="restart"/>
            <w:tcBorders>
              <w:top w:val="single" w:color="auto" w:sz="4" w:space="0"/>
              <w:left w:val="single" w:color="auto" w:sz="4" w:space="0"/>
              <w:bottom w:val="single" w:color="auto" w:sz="4" w:space="0"/>
              <w:right w:val="single" w:color="auto" w:sz="4" w:space="0"/>
            </w:tcBorders>
            <w:vAlign w:val="center"/>
          </w:tcPr>
          <w:p w14:paraId="24EF560F">
            <w:pPr>
              <w:pStyle w:val="131"/>
              <w:rPr>
                <w:b/>
                <w:bCs/>
              </w:rPr>
            </w:pPr>
            <w:r>
              <w:rPr>
                <w:rFonts w:hint="eastAsia"/>
                <w:b/>
                <w:bCs/>
              </w:rPr>
              <w:t>涉及行政区</w:t>
            </w:r>
          </w:p>
        </w:tc>
      </w:tr>
      <w:tr w14:paraId="0CF0EE30">
        <w:tblPrEx>
          <w:tblCellMar>
            <w:top w:w="0" w:type="dxa"/>
            <w:left w:w="108" w:type="dxa"/>
            <w:bottom w:w="0" w:type="dxa"/>
            <w:right w:w="108" w:type="dxa"/>
          </w:tblCellMar>
        </w:tblPrEx>
        <w:trPr>
          <w:trHeight w:val="340" w:hRule="exact"/>
          <w:jc w:val="center"/>
        </w:trPr>
        <w:tc>
          <w:tcPr>
            <w:tcW w:w="858" w:type="pct"/>
            <w:tcBorders>
              <w:top w:val="nil"/>
              <w:left w:val="single" w:color="auto" w:sz="4" w:space="0"/>
              <w:bottom w:val="single" w:color="auto" w:sz="4" w:space="0"/>
              <w:right w:val="single" w:color="auto" w:sz="4" w:space="0"/>
            </w:tcBorders>
            <w:vAlign w:val="center"/>
          </w:tcPr>
          <w:p w14:paraId="42889754">
            <w:pPr>
              <w:pStyle w:val="131"/>
              <w:rPr>
                <w:b/>
                <w:bCs/>
              </w:rPr>
            </w:pPr>
            <w:r>
              <w:rPr>
                <w:rFonts w:hint="eastAsia"/>
                <w:b/>
                <w:bCs/>
              </w:rPr>
              <w:t>一级区</w:t>
            </w:r>
          </w:p>
        </w:tc>
        <w:tc>
          <w:tcPr>
            <w:tcW w:w="1174" w:type="pct"/>
            <w:tcBorders>
              <w:top w:val="nil"/>
              <w:left w:val="nil"/>
              <w:bottom w:val="single" w:color="auto" w:sz="4" w:space="0"/>
              <w:right w:val="single" w:color="auto" w:sz="4" w:space="0"/>
            </w:tcBorders>
            <w:vAlign w:val="center"/>
          </w:tcPr>
          <w:p w14:paraId="27EA796C">
            <w:pPr>
              <w:pStyle w:val="131"/>
              <w:rPr>
                <w:b/>
                <w:bCs/>
              </w:rPr>
            </w:pPr>
            <w:r>
              <w:rPr>
                <w:rFonts w:hint="eastAsia"/>
                <w:b/>
                <w:bCs/>
              </w:rPr>
              <w:t>二级区</w:t>
            </w:r>
          </w:p>
        </w:tc>
        <w:tc>
          <w:tcPr>
            <w:tcW w:w="2113" w:type="pct"/>
            <w:tcBorders>
              <w:top w:val="nil"/>
              <w:left w:val="nil"/>
              <w:bottom w:val="single" w:color="auto" w:sz="4" w:space="0"/>
              <w:right w:val="single" w:color="auto" w:sz="4" w:space="0"/>
            </w:tcBorders>
            <w:vAlign w:val="center"/>
          </w:tcPr>
          <w:p w14:paraId="7A6A84AC">
            <w:pPr>
              <w:pStyle w:val="131"/>
              <w:rPr>
                <w:b/>
                <w:bCs/>
              </w:rPr>
            </w:pPr>
            <w:r>
              <w:rPr>
                <w:rFonts w:hint="eastAsia"/>
                <w:b/>
                <w:bCs/>
              </w:rPr>
              <w:t>三级区</w:t>
            </w:r>
          </w:p>
        </w:tc>
        <w:tc>
          <w:tcPr>
            <w:tcW w:w="855" w:type="pct"/>
            <w:vMerge w:val="continue"/>
            <w:tcBorders>
              <w:top w:val="single" w:color="auto" w:sz="4" w:space="0"/>
              <w:left w:val="single" w:color="auto" w:sz="4" w:space="0"/>
              <w:bottom w:val="single" w:color="auto" w:sz="4" w:space="0"/>
              <w:right w:val="single" w:color="auto" w:sz="4" w:space="0"/>
            </w:tcBorders>
            <w:vAlign w:val="center"/>
          </w:tcPr>
          <w:p w14:paraId="0D826830">
            <w:pPr>
              <w:pStyle w:val="131"/>
              <w:rPr>
                <w:b/>
                <w:bCs/>
              </w:rPr>
            </w:pPr>
          </w:p>
        </w:tc>
      </w:tr>
      <w:tr w14:paraId="5B300A9E">
        <w:tblPrEx>
          <w:tblCellMar>
            <w:top w:w="0" w:type="dxa"/>
            <w:left w:w="108" w:type="dxa"/>
            <w:bottom w:w="0" w:type="dxa"/>
            <w:right w:w="108" w:type="dxa"/>
          </w:tblCellMar>
        </w:tblPrEx>
        <w:trPr>
          <w:trHeight w:val="805" w:hRule="exact"/>
          <w:jc w:val="center"/>
        </w:trPr>
        <w:tc>
          <w:tcPr>
            <w:tcW w:w="858" w:type="pct"/>
            <w:tcBorders>
              <w:top w:val="nil"/>
              <w:left w:val="single" w:color="auto" w:sz="4" w:space="0"/>
              <w:bottom w:val="single" w:color="auto" w:sz="4" w:space="0"/>
              <w:right w:val="single" w:color="auto" w:sz="4" w:space="0"/>
            </w:tcBorders>
            <w:vAlign w:val="center"/>
          </w:tcPr>
          <w:p w14:paraId="3E8B560B">
            <w:pPr>
              <w:pStyle w:val="131"/>
            </w:pPr>
            <w:r>
              <w:rPr>
                <w:rFonts w:hint="eastAsia"/>
              </w:rPr>
              <w:t>东北黑土区</w:t>
            </w:r>
          </w:p>
        </w:tc>
        <w:tc>
          <w:tcPr>
            <w:tcW w:w="1174" w:type="pct"/>
            <w:tcBorders>
              <w:top w:val="nil"/>
              <w:left w:val="single" w:color="auto" w:sz="4" w:space="0"/>
              <w:bottom w:val="single" w:color="auto" w:sz="4" w:space="0"/>
              <w:right w:val="single" w:color="auto" w:sz="4" w:space="0"/>
            </w:tcBorders>
            <w:vAlign w:val="center"/>
          </w:tcPr>
          <w:p w14:paraId="1E5ADF38">
            <w:pPr>
              <w:pStyle w:val="131"/>
            </w:pPr>
            <w:r>
              <w:rPr>
                <w:rFonts w:hint="eastAsia"/>
              </w:rPr>
              <w:t>大兴安岭山地区</w:t>
            </w:r>
          </w:p>
        </w:tc>
        <w:tc>
          <w:tcPr>
            <w:tcW w:w="2113" w:type="pct"/>
            <w:tcBorders>
              <w:top w:val="nil"/>
              <w:left w:val="single" w:color="auto" w:sz="4" w:space="0"/>
              <w:bottom w:val="single" w:color="auto" w:sz="4" w:space="0"/>
              <w:right w:val="single" w:color="auto" w:sz="4" w:space="0"/>
            </w:tcBorders>
            <w:vAlign w:val="center"/>
          </w:tcPr>
          <w:p w14:paraId="05104F31">
            <w:pPr>
              <w:pStyle w:val="131"/>
            </w:pPr>
            <w:r>
              <w:rPr>
                <w:rFonts w:hint="eastAsia"/>
              </w:rPr>
              <w:t>大小兴安岭山地水源涵养生态维护区</w:t>
            </w:r>
          </w:p>
        </w:tc>
        <w:tc>
          <w:tcPr>
            <w:tcW w:w="855" w:type="pct"/>
            <w:tcBorders>
              <w:top w:val="nil"/>
              <w:left w:val="nil"/>
              <w:bottom w:val="single" w:color="auto" w:sz="4" w:space="0"/>
              <w:right w:val="single" w:color="auto" w:sz="4" w:space="0"/>
            </w:tcBorders>
            <w:vAlign w:val="center"/>
          </w:tcPr>
          <w:p w14:paraId="460A55A2">
            <w:pPr>
              <w:pStyle w:val="131"/>
            </w:pPr>
            <w:r>
              <w:rPr>
                <w:rFonts w:hint="eastAsia"/>
              </w:rPr>
              <w:t>额尔古纳市</w:t>
            </w:r>
          </w:p>
        </w:tc>
      </w:tr>
    </w:tbl>
    <w:p w14:paraId="3ADEFCAB">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根据《（呼伦贝尔）市人民政府关于</w:t>
      </w:r>
      <w:r>
        <w:rPr>
          <w:rFonts w:eastAsia="仿宋_GB2312" w:cs="Times New Roman"/>
          <w:spacing w:val="2"/>
          <w:kern w:val="0"/>
          <w:sz w:val="32"/>
          <w:szCs w:val="28"/>
        </w:rPr>
        <w:t>&lt;</w:t>
      </w:r>
      <w:r>
        <w:rPr>
          <w:rFonts w:hint="eastAsia" w:eastAsia="仿宋_GB2312" w:cs="Times New Roman"/>
          <w:spacing w:val="2"/>
          <w:kern w:val="0"/>
          <w:sz w:val="32"/>
          <w:szCs w:val="28"/>
        </w:rPr>
        <w:t>划分水土流失重点预防区和治理区域</w:t>
      </w:r>
      <w:r>
        <w:rPr>
          <w:rFonts w:eastAsia="仿宋_GB2312" w:cs="Times New Roman"/>
          <w:spacing w:val="2"/>
          <w:kern w:val="0"/>
          <w:sz w:val="32"/>
          <w:szCs w:val="28"/>
        </w:rPr>
        <w:t>&gt;</w:t>
      </w:r>
      <w:r>
        <w:rPr>
          <w:rFonts w:hint="eastAsia" w:eastAsia="仿宋_GB2312" w:cs="Times New Roman"/>
          <w:spacing w:val="2"/>
          <w:kern w:val="0"/>
          <w:sz w:val="32"/>
          <w:szCs w:val="28"/>
        </w:rPr>
        <w:t>的通告》（呼政字【2</w:t>
      </w:r>
      <w:r>
        <w:rPr>
          <w:rFonts w:eastAsia="仿宋_GB2312" w:cs="Times New Roman"/>
          <w:spacing w:val="2"/>
          <w:kern w:val="0"/>
          <w:sz w:val="32"/>
          <w:szCs w:val="28"/>
        </w:rPr>
        <w:t>018</w:t>
      </w:r>
      <w:r>
        <w:rPr>
          <w:rFonts w:hint="eastAsia" w:eastAsia="仿宋_GB2312" w:cs="Times New Roman"/>
          <w:spacing w:val="2"/>
          <w:kern w:val="0"/>
          <w:sz w:val="32"/>
          <w:szCs w:val="28"/>
        </w:rPr>
        <w:t>】8号），</w:t>
      </w:r>
      <w:r>
        <w:rPr>
          <w:rFonts w:eastAsia="仿宋_GB2312" w:cs="Times New Roman"/>
          <w:spacing w:val="2"/>
          <w:kern w:val="0"/>
          <w:sz w:val="32"/>
          <w:szCs w:val="28"/>
        </w:rPr>
        <w:t>额尔古纳市的市区、蒙兀室韦苏木、黑山头镇、莫尔道嘎镇、恩和哈达镇、奇乾乡</w:t>
      </w:r>
      <w:r>
        <w:rPr>
          <w:rFonts w:hint="eastAsia" w:eastAsia="仿宋_GB2312" w:cs="Times New Roman"/>
          <w:spacing w:val="2"/>
          <w:kern w:val="0"/>
          <w:sz w:val="32"/>
          <w:szCs w:val="28"/>
        </w:rPr>
        <w:t>涉及大小兴安岭国家级重点预防区；</w:t>
      </w:r>
      <w:r>
        <w:rPr>
          <w:rFonts w:eastAsia="仿宋_GB2312" w:cs="Times New Roman"/>
          <w:spacing w:val="2"/>
          <w:kern w:val="0"/>
          <w:sz w:val="32"/>
          <w:szCs w:val="28"/>
        </w:rPr>
        <w:t>额尔古纳市的三河回族乡、恩和俄罗斯民族乡</w:t>
      </w:r>
      <w:r>
        <w:rPr>
          <w:rFonts w:hint="eastAsia" w:eastAsia="仿宋_GB2312" w:cs="Times New Roman"/>
          <w:spacing w:val="2"/>
          <w:kern w:val="0"/>
          <w:sz w:val="32"/>
          <w:szCs w:val="28"/>
        </w:rPr>
        <w:t>涉及额尔古纳水土流失重点治理区域。</w:t>
      </w:r>
    </w:p>
    <w:p w14:paraId="5ECF8888">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w:t>
      </w:r>
      <w:r>
        <w:rPr>
          <w:rFonts w:eastAsia="仿宋_GB2312" w:cs="Times New Roman"/>
          <w:spacing w:val="2"/>
          <w:kern w:val="0"/>
          <w:sz w:val="32"/>
          <w:szCs w:val="28"/>
        </w:rPr>
        <w:t>2</w:t>
      </w:r>
      <w:r>
        <w:rPr>
          <w:rFonts w:hint="eastAsia" w:eastAsia="仿宋_GB2312" w:cs="Times New Roman"/>
          <w:spacing w:val="2"/>
          <w:kern w:val="0"/>
          <w:sz w:val="32"/>
          <w:szCs w:val="28"/>
        </w:rPr>
        <w:t>）治理方略</w:t>
      </w:r>
    </w:p>
    <w:p w14:paraId="45BA10CF">
      <w:pPr>
        <w:pStyle w:val="211"/>
        <w:ind w:firstLine="648"/>
        <w:rPr>
          <w:rFonts w:eastAsia="仿宋_GB2312" w:cs="Times New Roman"/>
          <w:spacing w:val="2"/>
          <w:kern w:val="0"/>
          <w:sz w:val="32"/>
          <w:szCs w:val="28"/>
        </w:rPr>
      </w:pPr>
      <w:r>
        <w:rPr>
          <w:rFonts w:eastAsia="仿宋_GB2312" w:cs="Times New Roman"/>
          <w:spacing w:val="2"/>
          <w:kern w:val="0"/>
          <w:sz w:val="32"/>
          <w:szCs w:val="28"/>
        </w:rPr>
        <w:t>本着</w:t>
      </w:r>
      <w:r>
        <w:rPr>
          <w:rFonts w:hint="eastAsia" w:eastAsia="仿宋_GB2312" w:cs="Times New Roman"/>
          <w:spacing w:val="2"/>
          <w:kern w:val="0"/>
          <w:sz w:val="32"/>
          <w:szCs w:val="28"/>
        </w:rPr>
        <w:t>“</w:t>
      </w:r>
      <w:r>
        <w:rPr>
          <w:rFonts w:eastAsia="仿宋_GB2312" w:cs="Times New Roman"/>
          <w:spacing w:val="2"/>
          <w:kern w:val="0"/>
          <w:sz w:val="32"/>
          <w:szCs w:val="28"/>
        </w:rPr>
        <w:t>预防为主，保护优先，全面规划，综合防治</w:t>
      </w:r>
      <w:r>
        <w:rPr>
          <w:rFonts w:hint="eastAsia" w:eastAsia="仿宋_GB2312" w:cs="Times New Roman"/>
          <w:spacing w:val="2"/>
          <w:kern w:val="0"/>
          <w:sz w:val="32"/>
          <w:szCs w:val="28"/>
        </w:rPr>
        <w:t>”</w:t>
      </w:r>
      <w:r>
        <w:rPr>
          <w:rFonts w:eastAsia="仿宋_GB2312" w:cs="Times New Roman"/>
          <w:spacing w:val="2"/>
          <w:kern w:val="0"/>
          <w:sz w:val="32"/>
          <w:szCs w:val="28"/>
        </w:rPr>
        <w:t>的原则，遵循</w:t>
      </w:r>
      <w:r>
        <w:rPr>
          <w:rFonts w:hint="eastAsia" w:eastAsia="仿宋_GB2312" w:cs="Times New Roman"/>
          <w:spacing w:val="2"/>
          <w:kern w:val="0"/>
          <w:sz w:val="32"/>
          <w:szCs w:val="28"/>
        </w:rPr>
        <w:t>“</w:t>
      </w:r>
      <w:r>
        <w:rPr>
          <w:rFonts w:eastAsia="仿宋_GB2312" w:cs="Times New Roman"/>
          <w:spacing w:val="2"/>
          <w:kern w:val="0"/>
          <w:sz w:val="32"/>
          <w:szCs w:val="28"/>
        </w:rPr>
        <w:t>大预防、小治理</w:t>
      </w:r>
      <w:r>
        <w:rPr>
          <w:rFonts w:hint="eastAsia" w:eastAsia="仿宋_GB2312" w:cs="Times New Roman"/>
          <w:spacing w:val="2"/>
          <w:kern w:val="0"/>
          <w:sz w:val="32"/>
          <w:szCs w:val="28"/>
        </w:rPr>
        <w:t>”</w:t>
      </w:r>
      <w:r>
        <w:rPr>
          <w:rFonts w:eastAsia="仿宋_GB2312" w:cs="Times New Roman"/>
          <w:spacing w:val="2"/>
          <w:kern w:val="0"/>
          <w:sz w:val="32"/>
          <w:szCs w:val="28"/>
        </w:rPr>
        <w:t>的治理思路，科学合理地制定水土保持方略，达到综合防治水土流失的目的。</w:t>
      </w:r>
    </w:p>
    <w:p w14:paraId="713705F3">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大小兴安岭国家级重点预防区</w:t>
      </w:r>
      <w:r>
        <w:rPr>
          <w:rFonts w:eastAsia="仿宋_GB2312" w:cs="Times New Roman"/>
          <w:spacing w:val="2"/>
          <w:kern w:val="0"/>
          <w:sz w:val="32"/>
          <w:szCs w:val="28"/>
        </w:rPr>
        <w:t>要坚持“预防为主、保护优先”的方针，有效保护自然地面覆盖物、林草植被；采取封育保护、自然修复等措施，对局部水土流失严重地区进行综合治理，扩大林草覆盖面积；限制或禁止可能造成水土流失的生产建设活动，强化监督管理，有效避免人为造成水土流失</w:t>
      </w:r>
      <w:r>
        <w:rPr>
          <w:rFonts w:hint="eastAsia" w:eastAsia="仿宋_GB2312" w:cs="Times New Roman"/>
          <w:spacing w:val="2"/>
          <w:kern w:val="0"/>
          <w:sz w:val="32"/>
          <w:szCs w:val="28"/>
        </w:rPr>
        <w:t>。</w:t>
      </w:r>
    </w:p>
    <w:p w14:paraId="2E875DFD">
      <w:pPr>
        <w:pStyle w:val="211"/>
        <w:ind w:firstLine="648"/>
      </w:pPr>
      <w:r>
        <w:rPr>
          <w:rFonts w:hint="eastAsia" w:eastAsia="仿宋_GB2312" w:cs="Times New Roman"/>
          <w:spacing w:val="2"/>
          <w:kern w:val="0"/>
          <w:sz w:val="32"/>
          <w:szCs w:val="28"/>
        </w:rPr>
        <w:t>额尔古纳水土流失重点治理区域</w:t>
      </w:r>
      <w:r>
        <w:rPr>
          <w:rFonts w:eastAsia="仿宋_GB2312" w:cs="Times New Roman"/>
          <w:spacing w:val="2"/>
          <w:kern w:val="0"/>
          <w:sz w:val="32"/>
          <w:szCs w:val="28"/>
        </w:rPr>
        <w:t>要坚持“因地制宜、综合治理”的方针，开展以小流域为单元的综合治理，改善生态环境和生产条件；鼓励单位和个人参与</w:t>
      </w:r>
      <w:r>
        <w:t>水土流失治理；加强管护，巩固治理成果。</w:t>
      </w:r>
    </w:p>
    <w:p w14:paraId="7129A274">
      <w:pPr>
        <w:pStyle w:val="64"/>
      </w:pPr>
      <w:bookmarkStart w:id="78" w:name="_Hlk205212054"/>
      <w:r>
        <w:rPr>
          <w:rFonts w:hint="eastAsia"/>
        </w:rPr>
        <w:t>2. 提高水源涵养能力</w:t>
      </w:r>
    </w:p>
    <w:p w14:paraId="240462AA">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依据《呼伦贝尔水土保持规划（</w:t>
      </w:r>
      <w:r>
        <w:rPr>
          <w:rFonts w:eastAsia="仿宋_GB2312" w:cs="Times New Roman"/>
          <w:spacing w:val="2"/>
          <w:kern w:val="0"/>
          <w:sz w:val="32"/>
          <w:szCs w:val="28"/>
        </w:rPr>
        <w:t>2017-2030</w:t>
      </w:r>
      <w:r>
        <w:rPr>
          <w:rFonts w:hint="eastAsia" w:eastAsia="仿宋_GB2312" w:cs="Times New Roman"/>
          <w:spacing w:val="2"/>
          <w:kern w:val="0"/>
          <w:sz w:val="32"/>
          <w:szCs w:val="28"/>
        </w:rPr>
        <w:t>年）》的水土流失重点预防区划分成果。额尔古纳市重点预防保护项目主要有重要江河源头区。额尔古纳市的重要江河源头区重点预防保护项目：得尔布干河、阿巴河、哈乌鲁河</w:t>
      </w:r>
      <w:r>
        <w:rPr>
          <w:rFonts w:eastAsia="仿宋_GB2312" w:cs="Times New Roman"/>
          <w:spacing w:val="2"/>
          <w:kern w:val="0"/>
          <w:sz w:val="32"/>
          <w:szCs w:val="28"/>
        </w:rPr>
        <w:t>3</w:t>
      </w:r>
      <w:r>
        <w:rPr>
          <w:rFonts w:hint="eastAsia" w:eastAsia="仿宋_GB2312" w:cs="Times New Roman"/>
          <w:spacing w:val="2"/>
          <w:kern w:val="0"/>
          <w:sz w:val="32"/>
          <w:szCs w:val="28"/>
        </w:rPr>
        <w:t>条重点支流的源头区，共涉及</w:t>
      </w:r>
      <w:r>
        <w:rPr>
          <w:rFonts w:eastAsia="仿宋_GB2312" w:cs="Times New Roman"/>
          <w:spacing w:val="2"/>
          <w:kern w:val="0"/>
          <w:sz w:val="32"/>
          <w:szCs w:val="28"/>
        </w:rPr>
        <w:t>3</w:t>
      </w:r>
      <w:r>
        <w:rPr>
          <w:rFonts w:hint="eastAsia" w:eastAsia="仿宋_GB2312" w:cs="Times New Roman"/>
          <w:spacing w:val="2"/>
          <w:kern w:val="0"/>
          <w:sz w:val="32"/>
          <w:szCs w:val="28"/>
        </w:rPr>
        <w:t>个乡（镇），分别是三河回族乡、奇乾乡和恩和俄罗斯民族乡。规划至</w:t>
      </w:r>
      <w:r>
        <w:rPr>
          <w:rFonts w:eastAsia="仿宋_GB2312" w:cs="Times New Roman"/>
          <w:spacing w:val="2"/>
          <w:kern w:val="0"/>
          <w:sz w:val="32"/>
          <w:szCs w:val="28"/>
        </w:rPr>
        <w:t>2035</w:t>
      </w:r>
      <w:r>
        <w:rPr>
          <w:rFonts w:hint="eastAsia" w:eastAsia="仿宋_GB2312" w:cs="Times New Roman"/>
          <w:spacing w:val="2"/>
          <w:kern w:val="0"/>
          <w:sz w:val="32"/>
          <w:szCs w:val="28"/>
        </w:rPr>
        <w:t>年，重要江河源头区水土保持项目的预防、治理面积及投资见下表。</w:t>
      </w:r>
    </w:p>
    <w:p w14:paraId="46657787">
      <w:pPr>
        <w:pStyle w:val="130"/>
        <w:spacing w:after="156"/>
      </w:pPr>
      <w:r>
        <w:rPr>
          <w:rFonts w:hint="eastAsia"/>
        </w:rPr>
        <w:t>表</w:t>
      </w:r>
      <w:r>
        <w:t xml:space="preserve">6.2-2    </w:t>
      </w:r>
      <w:r>
        <w:rPr>
          <w:rFonts w:hint="eastAsia"/>
        </w:rPr>
        <w:t>重要江河源头区水土保持项目规模</w:t>
      </w:r>
    </w:p>
    <w:tbl>
      <w:tblPr>
        <w:tblStyle w:val="23"/>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1716"/>
        <w:gridCol w:w="2156"/>
        <w:gridCol w:w="1148"/>
        <w:gridCol w:w="1134"/>
        <w:gridCol w:w="1559"/>
      </w:tblGrid>
      <w:tr w14:paraId="671C3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96" w:type="dxa"/>
            <w:vMerge w:val="restart"/>
            <w:noWrap/>
            <w:vAlign w:val="center"/>
          </w:tcPr>
          <w:p w14:paraId="7AC79B5E">
            <w:pPr>
              <w:pStyle w:val="131"/>
              <w:rPr>
                <w:rFonts w:eastAsiaTheme="minorEastAsia"/>
              </w:rPr>
            </w:pPr>
            <w:r>
              <w:rPr>
                <w:rFonts w:hint="eastAsia" w:eastAsiaTheme="minorEastAsia"/>
              </w:rPr>
              <w:t>行政区</w:t>
            </w:r>
          </w:p>
        </w:tc>
        <w:tc>
          <w:tcPr>
            <w:tcW w:w="1716" w:type="dxa"/>
            <w:vMerge w:val="restart"/>
            <w:noWrap/>
            <w:vAlign w:val="center"/>
          </w:tcPr>
          <w:p w14:paraId="50D86157">
            <w:pPr>
              <w:pStyle w:val="131"/>
              <w:rPr>
                <w:rFonts w:eastAsiaTheme="minorEastAsia"/>
              </w:rPr>
            </w:pPr>
            <w:r>
              <w:rPr>
                <w:rFonts w:hint="eastAsia" w:eastAsiaTheme="minorEastAsia"/>
              </w:rPr>
              <w:t>涉及江河源头</w:t>
            </w:r>
          </w:p>
        </w:tc>
        <w:tc>
          <w:tcPr>
            <w:tcW w:w="2156" w:type="dxa"/>
            <w:vMerge w:val="restart"/>
            <w:noWrap/>
            <w:vAlign w:val="center"/>
          </w:tcPr>
          <w:p w14:paraId="21692EBD">
            <w:pPr>
              <w:pStyle w:val="131"/>
              <w:rPr>
                <w:rFonts w:eastAsiaTheme="minorEastAsia"/>
              </w:rPr>
            </w:pPr>
            <w:r>
              <w:rPr>
                <w:rFonts w:hint="eastAsia" w:eastAsiaTheme="minorEastAsia"/>
              </w:rPr>
              <w:t>涉及乡镇苏木</w:t>
            </w:r>
          </w:p>
        </w:tc>
        <w:tc>
          <w:tcPr>
            <w:tcW w:w="2282" w:type="dxa"/>
            <w:gridSpan w:val="2"/>
            <w:noWrap/>
            <w:vAlign w:val="center"/>
          </w:tcPr>
          <w:p w14:paraId="125F545C">
            <w:pPr>
              <w:pStyle w:val="131"/>
              <w:rPr>
                <w:rFonts w:eastAsiaTheme="minorEastAsia"/>
              </w:rPr>
            </w:pPr>
            <w:r>
              <w:rPr>
                <w:rFonts w:hint="eastAsia" w:eastAsiaTheme="minorEastAsia"/>
              </w:rPr>
              <w:t>规模（</w:t>
            </w:r>
            <w:r>
              <w:rPr>
                <w:rFonts w:eastAsiaTheme="minorEastAsia"/>
              </w:rPr>
              <w:t>km</w:t>
            </w:r>
            <w:r>
              <w:rPr>
                <w:rFonts w:eastAsiaTheme="minorEastAsia"/>
                <w:vertAlign w:val="superscript"/>
              </w:rPr>
              <w:t>2</w:t>
            </w:r>
            <w:r>
              <w:rPr>
                <w:rFonts w:hint="eastAsia" w:eastAsiaTheme="minorEastAsia"/>
              </w:rPr>
              <w:t>）</w:t>
            </w:r>
          </w:p>
        </w:tc>
        <w:tc>
          <w:tcPr>
            <w:tcW w:w="1559" w:type="dxa"/>
            <w:vMerge w:val="restart"/>
            <w:vAlign w:val="center"/>
          </w:tcPr>
          <w:p w14:paraId="5DA3FAB4">
            <w:pPr>
              <w:pStyle w:val="131"/>
              <w:rPr>
                <w:rFonts w:eastAsiaTheme="minorEastAsia"/>
              </w:rPr>
            </w:pPr>
            <w:r>
              <w:rPr>
                <w:rFonts w:hint="eastAsia" w:eastAsiaTheme="minorEastAsia"/>
              </w:rPr>
              <w:t>投资（万元）</w:t>
            </w:r>
          </w:p>
        </w:tc>
      </w:tr>
      <w:tr w14:paraId="3395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1496" w:type="dxa"/>
            <w:vMerge w:val="continue"/>
            <w:vAlign w:val="center"/>
          </w:tcPr>
          <w:p w14:paraId="3A3F0A4C">
            <w:pPr>
              <w:pStyle w:val="131"/>
              <w:rPr>
                <w:rFonts w:eastAsiaTheme="minorEastAsia"/>
              </w:rPr>
            </w:pPr>
          </w:p>
        </w:tc>
        <w:tc>
          <w:tcPr>
            <w:tcW w:w="1716" w:type="dxa"/>
            <w:vMerge w:val="continue"/>
            <w:vAlign w:val="center"/>
          </w:tcPr>
          <w:p w14:paraId="199C1EFC">
            <w:pPr>
              <w:pStyle w:val="131"/>
              <w:rPr>
                <w:rFonts w:eastAsiaTheme="minorEastAsia"/>
              </w:rPr>
            </w:pPr>
          </w:p>
        </w:tc>
        <w:tc>
          <w:tcPr>
            <w:tcW w:w="2156" w:type="dxa"/>
            <w:vMerge w:val="continue"/>
            <w:vAlign w:val="center"/>
          </w:tcPr>
          <w:p w14:paraId="24A645C4">
            <w:pPr>
              <w:pStyle w:val="131"/>
              <w:rPr>
                <w:rFonts w:eastAsiaTheme="minorEastAsia"/>
              </w:rPr>
            </w:pPr>
          </w:p>
        </w:tc>
        <w:tc>
          <w:tcPr>
            <w:tcW w:w="1148" w:type="dxa"/>
            <w:noWrap/>
            <w:vAlign w:val="center"/>
          </w:tcPr>
          <w:p w14:paraId="23503A45">
            <w:pPr>
              <w:pStyle w:val="131"/>
              <w:rPr>
                <w:rFonts w:eastAsiaTheme="minorEastAsia"/>
              </w:rPr>
            </w:pPr>
            <w:r>
              <w:rPr>
                <w:rFonts w:hint="eastAsia" w:eastAsiaTheme="minorEastAsia"/>
              </w:rPr>
              <w:t>预防面积</w:t>
            </w:r>
          </w:p>
        </w:tc>
        <w:tc>
          <w:tcPr>
            <w:tcW w:w="1134" w:type="dxa"/>
            <w:noWrap/>
            <w:vAlign w:val="center"/>
          </w:tcPr>
          <w:p w14:paraId="42B8A720">
            <w:pPr>
              <w:pStyle w:val="131"/>
              <w:rPr>
                <w:rFonts w:eastAsiaTheme="minorEastAsia"/>
              </w:rPr>
            </w:pPr>
            <w:r>
              <w:rPr>
                <w:rFonts w:hint="eastAsia" w:eastAsiaTheme="minorEastAsia"/>
              </w:rPr>
              <w:t>治理面积</w:t>
            </w:r>
          </w:p>
        </w:tc>
        <w:tc>
          <w:tcPr>
            <w:tcW w:w="1559" w:type="dxa"/>
            <w:vMerge w:val="continue"/>
            <w:vAlign w:val="center"/>
          </w:tcPr>
          <w:p w14:paraId="57ACAA48">
            <w:pPr>
              <w:pStyle w:val="131"/>
              <w:rPr>
                <w:rFonts w:eastAsiaTheme="minorEastAsia"/>
              </w:rPr>
            </w:pPr>
          </w:p>
        </w:tc>
      </w:tr>
      <w:tr w14:paraId="63F55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96" w:type="dxa"/>
            <w:vMerge w:val="restart"/>
            <w:noWrap/>
            <w:vAlign w:val="center"/>
          </w:tcPr>
          <w:p w14:paraId="1AFB30E1">
            <w:pPr>
              <w:pStyle w:val="131"/>
              <w:rPr>
                <w:rFonts w:eastAsiaTheme="minorEastAsia"/>
              </w:rPr>
            </w:pPr>
            <w:r>
              <w:rPr>
                <w:rFonts w:hint="eastAsia" w:eastAsiaTheme="minorEastAsia"/>
              </w:rPr>
              <w:t>额尔古纳市</w:t>
            </w:r>
          </w:p>
        </w:tc>
        <w:tc>
          <w:tcPr>
            <w:tcW w:w="1716" w:type="dxa"/>
            <w:noWrap/>
            <w:vAlign w:val="center"/>
          </w:tcPr>
          <w:p w14:paraId="0D4C965F">
            <w:pPr>
              <w:pStyle w:val="131"/>
              <w:rPr>
                <w:rFonts w:eastAsiaTheme="minorEastAsia"/>
              </w:rPr>
            </w:pPr>
            <w:r>
              <w:rPr>
                <w:rFonts w:hint="eastAsia" w:eastAsiaTheme="minorEastAsia"/>
              </w:rPr>
              <w:t>得尔布干河</w:t>
            </w:r>
          </w:p>
        </w:tc>
        <w:tc>
          <w:tcPr>
            <w:tcW w:w="2156" w:type="dxa"/>
            <w:noWrap/>
            <w:vAlign w:val="center"/>
          </w:tcPr>
          <w:p w14:paraId="6EA8A2A8">
            <w:pPr>
              <w:pStyle w:val="131"/>
              <w:rPr>
                <w:rFonts w:eastAsiaTheme="minorEastAsia"/>
              </w:rPr>
            </w:pPr>
            <w:r>
              <w:rPr>
                <w:rFonts w:hint="eastAsia" w:eastAsiaTheme="minorEastAsia"/>
              </w:rPr>
              <w:t>三河回族乡</w:t>
            </w:r>
          </w:p>
        </w:tc>
        <w:tc>
          <w:tcPr>
            <w:tcW w:w="1148" w:type="dxa"/>
            <w:noWrap/>
            <w:vAlign w:val="center"/>
          </w:tcPr>
          <w:p w14:paraId="6B78B581">
            <w:pPr>
              <w:pStyle w:val="131"/>
              <w:rPr>
                <w:rFonts w:eastAsiaTheme="minorEastAsia"/>
              </w:rPr>
            </w:pPr>
            <w:r>
              <w:rPr>
                <w:rFonts w:eastAsiaTheme="minorEastAsia"/>
                <w:color w:val="000000"/>
              </w:rPr>
              <w:t>342</w:t>
            </w:r>
          </w:p>
        </w:tc>
        <w:tc>
          <w:tcPr>
            <w:tcW w:w="1134" w:type="dxa"/>
            <w:noWrap/>
            <w:vAlign w:val="center"/>
          </w:tcPr>
          <w:p w14:paraId="2D51153D">
            <w:pPr>
              <w:pStyle w:val="131"/>
              <w:rPr>
                <w:rFonts w:eastAsiaTheme="minorEastAsia"/>
              </w:rPr>
            </w:pPr>
            <w:r>
              <w:rPr>
                <w:rFonts w:eastAsiaTheme="minorEastAsia"/>
                <w:color w:val="000000"/>
              </w:rPr>
              <w:t>42</w:t>
            </w:r>
          </w:p>
        </w:tc>
        <w:tc>
          <w:tcPr>
            <w:tcW w:w="1559" w:type="dxa"/>
            <w:noWrap/>
            <w:vAlign w:val="center"/>
          </w:tcPr>
          <w:p w14:paraId="779C7FAC">
            <w:pPr>
              <w:pStyle w:val="131"/>
              <w:rPr>
                <w:rFonts w:eastAsiaTheme="minorEastAsia"/>
              </w:rPr>
            </w:pPr>
          </w:p>
        </w:tc>
      </w:tr>
      <w:tr w14:paraId="704B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1496" w:type="dxa"/>
            <w:vMerge w:val="continue"/>
            <w:vAlign w:val="center"/>
          </w:tcPr>
          <w:p w14:paraId="45A0D9EC">
            <w:pPr>
              <w:pStyle w:val="131"/>
              <w:rPr>
                <w:rFonts w:eastAsiaTheme="minorEastAsia"/>
              </w:rPr>
            </w:pPr>
          </w:p>
        </w:tc>
        <w:tc>
          <w:tcPr>
            <w:tcW w:w="1716" w:type="dxa"/>
            <w:vAlign w:val="center"/>
          </w:tcPr>
          <w:p w14:paraId="7812EADC">
            <w:pPr>
              <w:pStyle w:val="131"/>
              <w:rPr>
                <w:rFonts w:eastAsiaTheme="minorEastAsia"/>
              </w:rPr>
            </w:pPr>
            <w:r>
              <w:rPr>
                <w:rFonts w:hint="eastAsia" w:eastAsiaTheme="minorEastAsia"/>
              </w:rPr>
              <w:t>阿巴河</w:t>
            </w:r>
          </w:p>
        </w:tc>
        <w:tc>
          <w:tcPr>
            <w:tcW w:w="2156" w:type="dxa"/>
            <w:noWrap/>
            <w:vAlign w:val="center"/>
          </w:tcPr>
          <w:p w14:paraId="0770D3C9">
            <w:pPr>
              <w:pStyle w:val="131"/>
              <w:rPr>
                <w:rFonts w:eastAsiaTheme="minorEastAsia"/>
              </w:rPr>
            </w:pPr>
            <w:r>
              <w:rPr>
                <w:rFonts w:hint="eastAsia" w:eastAsiaTheme="minorEastAsia"/>
              </w:rPr>
              <w:t>奇乾乡</w:t>
            </w:r>
          </w:p>
        </w:tc>
        <w:tc>
          <w:tcPr>
            <w:tcW w:w="1148" w:type="dxa"/>
            <w:noWrap/>
            <w:vAlign w:val="center"/>
          </w:tcPr>
          <w:p w14:paraId="17F58DFE">
            <w:pPr>
              <w:pStyle w:val="131"/>
              <w:rPr>
                <w:rFonts w:eastAsiaTheme="minorEastAsia"/>
              </w:rPr>
            </w:pPr>
            <w:r>
              <w:rPr>
                <w:rFonts w:eastAsiaTheme="minorEastAsia"/>
                <w:color w:val="000000"/>
              </w:rPr>
              <w:t>516</w:t>
            </w:r>
          </w:p>
        </w:tc>
        <w:tc>
          <w:tcPr>
            <w:tcW w:w="1134" w:type="dxa"/>
            <w:noWrap/>
            <w:vAlign w:val="center"/>
          </w:tcPr>
          <w:p w14:paraId="1C9C60B5">
            <w:pPr>
              <w:pStyle w:val="131"/>
              <w:rPr>
                <w:rFonts w:eastAsiaTheme="minorEastAsia"/>
              </w:rPr>
            </w:pPr>
            <w:r>
              <w:rPr>
                <w:rFonts w:eastAsiaTheme="minorEastAsia"/>
                <w:color w:val="000000"/>
              </w:rPr>
              <w:t>64</w:t>
            </w:r>
          </w:p>
        </w:tc>
        <w:tc>
          <w:tcPr>
            <w:tcW w:w="1559" w:type="dxa"/>
            <w:noWrap/>
            <w:vAlign w:val="center"/>
          </w:tcPr>
          <w:p w14:paraId="1DEA09CA">
            <w:pPr>
              <w:pStyle w:val="131"/>
              <w:rPr>
                <w:rFonts w:eastAsiaTheme="minorEastAsia"/>
              </w:rPr>
            </w:pPr>
          </w:p>
        </w:tc>
      </w:tr>
      <w:tr w14:paraId="7567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96" w:type="dxa"/>
            <w:vMerge w:val="continue"/>
            <w:vAlign w:val="center"/>
          </w:tcPr>
          <w:p w14:paraId="24AD2D02">
            <w:pPr>
              <w:pStyle w:val="131"/>
              <w:rPr>
                <w:rFonts w:eastAsiaTheme="minorEastAsia"/>
              </w:rPr>
            </w:pPr>
          </w:p>
        </w:tc>
        <w:tc>
          <w:tcPr>
            <w:tcW w:w="1716" w:type="dxa"/>
            <w:vAlign w:val="center"/>
          </w:tcPr>
          <w:p w14:paraId="451EB11C">
            <w:pPr>
              <w:pStyle w:val="131"/>
              <w:rPr>
                <w:rFonts w:eastAsiaTheme="minorEastAsia"/>
              </w:rPr>
            </w:pPr>
            <w:r>
              <w:rPr>
                <w:rFonts w:hint="eastAsia" w:eastAsiaTheme="minorEastAsia"/>
              </w:rPr>
              <w:t>哈乌鲁河</w:t>
            </w:r>
          </w:p>
        </w:tc>
        <w:tc>
          <w:tcPr>
            <w:tcW w:w="2156" w:type="dxa"/>
            <w:noWrap/>
            <w:vAlign w:val="center"/>
          </w:tcPr>
          <w:p w14:paraId="52E5AC79">
            <w:pPr>
              <w:pStyle w:val="131"/>
              <w:rPr>
                <w:rFonts w:eastAsiaTheme="minorEastAsia"/>
              </w:rPr>
            </w:pPr>
            <w:r>
              <w:rPr>
                <w:rFonts w:hint="eastAsia" w:eastAsiaTheme="minorEastAsia"/>
              </w:rPr>
              <w:t>恩和俄罗斯民族乡</w:t>
            </w:r>
          </w:p>
        </w:tc>
        <w:tc>
          <w:tcPr>
            <w:tcW w:w="1148" w:type="dxa"/>
            <w:noWrap/>
            <w:vAlign w:val="center"/>
          </w:tcPr>
          <w:p w14:paraId="797FB4FD">
            <w:pPr>
              <w:pStyle w:val="131"/>
              <w:rPr>
                <w:rFonts w:eastAsiaTheme="minorEastAsia"/>
              </w:rPr>
            </w:pPr>
            <w:r>
              <w:rPr>
                <w:rFonts w:eastAsiaTheme="minorEastAsia"/>
                <w:color w:val="000000"/>
              </w:rPr>
              <w:t>210</w:t>
            </w:r>
          </w:p>
        </w:tc>
        <w:tc>
          <w:tcPr>
            <w:tcW w:w="1134" w:type="dxa"/>
            <w:noWrap/>
            <w:vAlign w:val="center"/>
          </w:tcPr>
          <w:p w14:paraId="7193D701">
            <w:pPr>
              <w:pStyle w:val="131"/>
              <w:rPr>
                <w:rFonts w:eastAsiaTheme="minorEastAsia"/>
              </w:rPr>
            </w:pPr>
            <w:r>
              <w:rPr>
                <w:rFonts w:eastAsiaTheme="minorEastAsia"/>
                <w:color w:val="000000"/>
              </w:rPr>
              <w:t>26</w:t>
            </w:r>
          </w:p>
        </w:tc>
        <w:tc>
          <w:tcPr>
            <w:tcW w:w="1559" w:type="dxa"/>
            <w:noWrap/>
            <w:vAlign w:val="center"/>
          </w:tcPr>
          <w:p w14:paraId="739BA53E">
            <w:pPr>
              <w:pStyle w:val="131"/>
              <w:rPr>
                <w:rFonts w:eastAsiaTheme="minorEastAsia"/>
              </w:rPr>
            </w:pPr>
          </w:p>
        </w:tc>
      </w:tr>
      <w:tr w14:paraId="169B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1496" w:type="dxa"/>
            <w:vMerge w:val="continue"/>
            <w:vAlign w:val="center"/>
          </w:tcPr>
          <w:p w14:paraId="556ACE54">
            <w:pPr>
              <w:pStyle w:val="131"/>
              <w:rPr>
                <w:rFonts w:eastAsiaTheme="minorEastAsia"/>
              </w:rPr>
            </w:pPr>
          </w:p>
        </w:tc>
        <w:tc>
          <w:tcPr>
            <w:tcW w:w="1716" w:type="dxa"/>
            <w:vAlign w:val="center"/>
          </w:tcPr>
          <w:p w14:paraId="7F1803DB">
            <w:pPr>
              <w:pStyle w:val="131"/>
              <w:rPr>
                <w:rFonts w:eastAsiaTheme="minorEastAsia"/>
              </w:rPr>
            </w:pPr>
            <w:r>
              <w:rPr>
                <w:rFonts w:hint="eastAsia" w:eastAsiaTheme="minorEastAsia"/>
              </w:rPr>
              <w:t>小计</w:t>
            </w:r>
          </w:p>
        </w:tc>
        <w:tc>
          <w:tcPr>
            <w:tcW w:w="2156" w:type="dxa"/>
            <w:noWrap/>
            <w:vAlign w:val="center"/>
          </w:tcPr>
          <w:p w14:paraId="1AA3A749">
            <w:pPr>
              <w:pStyle w:val="131"/>
              <w:rPr>
                <w:rFonts w:eastAsiaTheme="minorEastAsia"/>
              </w:rPr>
            </w:pPr>
          </w:p>
        </w:tc>
        <w:tc>
          <w:tcPr>
            <w:tcW w:w="1148" w:type="dxa"/>
            <w:noWrap/>
            <w:vAlign w:val="center"/>
          </w:tcPr>
          <w:p w14:paraId="4CB74281">
            <w:pPr>
              <w:pStyle w:val="131"/>
              <w:rPr>
                <w:rFonts w:eastAsiaTheme="minorEastAsia"/>
              </w:rPr>
            </w:pPr>
            <w:r>
              <w:rPr>
                <w:rFonts w:eastAsiaTheme="minorEastAsia"/>
                <w:color w:val="000000"/>
              </w:rPr>
              <w:t>1068</w:t>
            </w:r>
          </w:p>
        </w:tc>
        <w:tc>
          <w:tcPr>
            <w:tcW w:w="1134" w:type="dxa"/>
            <w:noWrap/>
            <w:vAlign w:val="center"/>
          </w:tcPr>
          <w:p w14:paraId="6608A5EB">
            <w:pPr>
              <w:pStyle w:val="131"/>
              <w:rPr>
                <w:rFonts w:eastAsiaTheme="minorEastAsia"/>
              </w:rPr>
            </w:pPr>
            <w:r>
              <w:rPr>
                <w:rFonts w:eastAsiaTheme="minorEastAsia"/>
                <w:color w:val="000000"/>
              </w:rPr>
              <w:t>132</w:t>
            </w:r>
          </w:p>
        </w:tc>
        <w:tc>
          <w:tcPr>
            <w:tcW w:w="1559" w:type="dxa"/>
            <w:noWrap/>
            <w:vAlign w:val="center"/>
          </w:tcPr>
          <w:p w14:paraId="55653B62">
            <w:pPr>
              <w:widowControl/>
              <w:jc w:val="center"/>
              <w:rPr>
                <w:rFonts w:eastAsiaTheme="minorEastAsia"/>
                <w:color w:val="000000"/>
                <w:sz w:val="22"/>
                <w:szCs w:val="22"/>
              </w:rPr>
            </w:pPr>
            <w:r>
              <w:rPr>
                <w:rFonts w:eastAsiaTheme="minorEastAsia"/>
                <w:color w:val="000000"/>
                <w:sz w:val="22"/>
                <w:szCs w:val="22"/>
              </w:rPr>
              <w:t>12182</w:t>
            </w:r>
          </w:p>
        </w:tc>
      </w:tr>
    </w:tbl>
    <w:p w14:paraId="23C065EE">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根据额尔古纳市水土保持现状，积极开展重要江河源头区生态建设，维护生态环境质量，维持水源涵养和水质维护功能，增强区域防灾减灾能力。应全面保护和恢复天然植被，防止乱砍滥伐，对疏幼林地进行补植，同时加强生产建设项目监督管理，做好局部严重水土流失地区的综合治理工作。</w:t>
      </w:r>
    </w:p>
    <w:p w14:paraId="2BB0B555">
      <w:pPr>
        <w:pStyle w:val="64"/>
      </w:pPr>
      <w:r>
        <w:t>3</w:t>
      </w:r>
      <w:r>
        <w:rPr>
          <w:rFonts w:hint="eastAsia"/>
        </w:rPr>
        <w:t>. 加强水土流失治理</w:t>
      </w:r>
    </w:p>
    <w:p w14:paraId="6A3CD8FE">
      <w:pPr>
        <w:pStyle w:val="211"/>
        <w:ind w:firstLine="648"/>
        <w:rPr>
          <w:rFonts w:eastAsia="仿宋_GB2312" w:cs="Times New Roman"/>
          <w:spacing w:val="2"/>
          <w:kern w:val="0"/>
          <w:sz w:val="32"/>
          <w:szCs w:val="28"/>
        </w:rPr>
      </w:pPr>
      <w:r>
        <w:rPr>
          <w:rFonts w:hint="eastAsia" w:eastAsia="仿宋_GB2312" w:cs="Times New Roman"/>
          <w:spacing w:val="2"/>
          <w:kern w:val="0"/>
          <w:sz w:val="32"/>
          <w:szCs w:val="28"/>
        </w:rPr>
        <w:t>依据《呼伦贝尔市水土保持规划（</w:t>
      </w:r>
      <w:r>
        <w:rPr>
          <w:rFonts w:eastAsia="仿宋_GB2312" w:cs="Times New Roman"/>
          <w:spacing w:val="2"/>
          <w:kern w:val="0"/>
          <w:sz w:val="32"/>
          <w:szCs w:val="28"/>
        </w:rPr>
        <w:t>2017-2030</w:t>
      </w:r>
      <w:r>
        <w:rPr>
          <w:rFonts w:hint="eastAsia" w:eastAsia="仿宋_GB2312" w:cs="Times New Roman"/>
          <w:spacing w:val="2"/>
          <w:kern w:val="0"/>
          <w:sz w:val="32"/>
          <w:szCs w:val="28"/>
        </w:rPr>
        <w:t>年）》水土流失重点治理区划分成果，额尔古纳市的重点区域水土流失综合治理项目涉及额尔古纳市区、黑山头镇、恩和俄罗斯民族乡、蒙兀室韦苏木、三河回族乡。规划至</w:t>
      </w:r>
      <w:r>
        <w:rPr>
          <w:rFonts w:eastAsia="仿宋_GB2312" w:cs="Times New Roman"/>
          <w:spacing w:val="2"/>
          <w:kern w:val="0"/>
          <w:sz w:val="32"/>
          <w:szCs w:val="28"/>
        </w:rPr>
        <w:t>2035</w:t>
      </w:r>
      <w:r>
        <w:rPr>
          <w:rFonts w:hint="eastAsia" w:eastAsia="仿宋_GB2312" w:cs="Times New Roman"/>
          <w:spacing w:val="2"/>
          <w:kern w:val="0"/>
          <w:sz w:val="32"/>
          <w:szCs w:val="28"/>
        </w:rPr>
        <w:t>年，重点区域水土流失综合治理的面积及投资见下表。</w:t>
      </w:r>
    </w:p>
    <w:p w14:paraId="3AD75621">
      <w:pPr>
        <w:pStyle w:val="130"/>
        <w:spacing w:after="156"/>
      </w:pPr>
      <w:r>
        <w:rPr>
          <w:rFonts w:hint="eastAsia"/>
        </w:rPr>
        <w:t>表</w:t>
      </w:r>
      <w:r>
        <w:t xml:space="preserve">6.2-3    </w:t>
      </w:r>
      <w:r>
        <w:rPr>
          <w:rFonts w:hint="eastAsia"/>
        </w:rPr>
        <w:t>重点区域水土流失综合治理规模</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8"/>
        <w:gridCol w:w="4138"/>
        <w:gridCol w:w="1935"/>
        <w:gridCol w:w="1865"/>
      </w:tblGrid>
      <w:tr w14:paraId="14CA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26" w:type="pct"/>
            <w:noWrap/>
            <w:vAlign w:val="center"/>
          </w:tcPr>
          <w:p w14:paraId="69B003E3">
            <w:pPr>
              <w:pStyle w:val="131"/>
            </w:pPr>
            <w:r>
              <w:rPr>
                <w:rFonts w:hint="eastAsia"/>
              </w:rPr>
              <w:t>行政区</w:t>
            </w:r>
          </w:p>
        </w:tc>
        <w:tc>
          <w:tcPr>
            <w:tcW w:w="2228" w:type="pct"/>
            <w:noWrap/>
            <w:vAlign w:val="center"/>
          </w:tcPr>
          <w:p w14:paraId="6A99AF4A">
            <w:pPr>
              <w:pStyle w:val="131"/>
            </w:pPr>
            <w:r>
              <w:rPr>
                <w:rFonts w:hint="eastAsia"/>
              </w:rPr>
              <w:t>涉及乡镇苏木</w:t>
            </w:r>
          </w:p>
        </w:tc>
        <w:tc>
          <w:tcPr>
            <w:tcW w:w="1042" w:type="pct"/>
            <w:vAlign w:val="center"/>
          </w:tcPr>
          <w:p w14:paraId="013DA7C0">
            <w:pPr>
              <w:pStyle w:val="131"/>
            </w:pPr>
            <w:r>
              <w:rPr>
                <w:rFonts w:hint="eastAsia"/>
              </w:rPr>
              <w:t>治理面积（</w:t>
            </w:r>
            <w:r>
              <w:t>km</w:t>
            </w:r>
            <w:r>
              <w:rPr>
                <w:vertAlign w:val="superscript"/>
              </w:rPr>
              <w:t>2</w:t>
            </w:r>
            <w:r>
              <w:rPr>
                <w:rFonts w:hint="eastAsia"/>
              </w:rPr>
              <w:t>）</w:t>
            </w:r>
          </w:p>
        </w:tc>
        <w:tc>
          <w:tcPr>
            <w:tcW w:w="1004" w:type="pct"/>
            <w:vAlign w:val="center"/>
          </w:tcPr>
          <w:p w14:paraId="1E488396">
            <w:pPr>
              <w:pStyle w:val="131"/>
            </w:pPr>
            <w:r>
              <w:rPr>
                <w:rFonts w:hint="eastAsia"/>
              </w:rPr>
              <w:t>投资（万元）</w:t>
            </w:r>
          </w:p>
        </w:tc>
      </w:tr>
      <w:tr w14:paraId="0BFE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6" w:type="pct"/>
            <w:vMerge w:val="restart"/>
            <w:noWrap/>
            <w:vAlign w:val="center"/>
          </w:tcPr>
          <w:p w14:paraId="3AD5EFF1">
            <w:pPr>
              <w:pStyle w:val="131"/>
            </w:pPr>
            <w:r>
              <w:rPr>
                <w:rFonts w:hint="eastAsia"/>
              </w:rPr>
              <w:t>额尔古纳市</w:t>
            </w:r>
          </w:p>
        </w:tc>
        <w:tc>
          <w:tcPr>
            <w:tcW w:w="2228" w:type="pct"/>
            <w:noWrap/>
            <w:vAlign w:val="center"/>
          </w:tcPr>
          <w:p w14:paraId="109E21CB">
            <w:pPr>
              <w:pStyle w:val="131"/>
            </w:pPr>
            <w:r>
              <w:rPr>
                <w:rFonts w:hint="eastAsia"/>
              </w:rPr>
              <w:t>额尔古纳市区</w:t>
            </w:r>
          </w:p>
        </w:tc>
        <w:tc>
          <w:tcPr>
            <w:tcW w:w="1042" w:type="pct"/>
            <w:noWrap/>
            <w:vAlign w:val="center"/>
          </w:tcPr>
          <w:p w14:paraId="03603DB6">
            <w:pPr>
              <w:pStyle w:val="131"/>
            </w:pPr>
            <w:r>
              <w:rPr>
                <w:rFonts w:eastAsia="等线"/>
                <w:color w:val="000000"/>
              </w:rPr>
              <w:t>33</w:t>
            </w:r>
          </w:p>
        </w:tc>
        <w:tc>
          <w:tcPr>
            <w:tcW w:w="1004" w:type="pct"/>
            <w:noWrap/>
            <w:vAlign w:val="center"/>
          </w:tcPr>
          <w:p w14:paraId="5F474909">
            <w:pPr>
              <w:pStyle w:val="131"/>
            </w:pPr>
            <w:r>
              <w:rPr>
                <w:rFonts w:hint="eastAsia"/>
              </w:rPr>
              <w:t>　</w:t>
            </w:r>
          </w:p>
        </w:tc>
      </w:tr>
      <w:tr w14:paraId="1112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6" w:type="pct"/>
            <w:vMerge w:val="continue"/>
            <w:vAlign w:val="center"/>
          </w:tcPr>
          <w:p w14:paraId="1051FF57">
            <w:pPr>
              <w:pStyle w:val="131"/>
            </w:pPr>
          </w:p>
        </w:tc>
        <w:tc>
          <w:tcPr>
            <w:tcW w:w="2228" w:type="pct"/>
            <w:noWrap/>
            <w:vAlign w:val="center"/>
          </w:tcPr>
          <w:p w14:paraId="08F005E1">
            <w:pPr>
              <w:pStyle w:val="131"/>
            </w:pPr>
            <w:r>
              <w:rPr>
                <w:rFonts w:hint="eastAsia"/>
              </w:rPr>
              <w:t>黑山头镇</w:t>
            </w:r>
          </w:p>
        </w:tc>
        <w:tc>
          <w:tcPr>
            <w:tcW w:w="1042" w:type="pct"/>
            <w:noWrap/>
            <w:vAlign w:val="center"/>
          </w:tcPr>
          <w:p w14:paraId="1F54A238">
            <w:pPr>
              <w:pStyle w:val="131"/>
            </w:pPr>
            <w:r>
              <w:rPr>
                <w:rFonts w:eastAsia="等线"/>
                <w:color w:val="000000"/>
              </w:rPr>
              <w:t>11</w:t>
            </w:r>
          </w:p>
        </w:tc>
        <w:tc>
          <w:tcPr>
            <w:tcW w:w="1004" w:type="pct"/>
            <w:noWrap/>
            <w:vAlign w:val="center"/>
          </w:tcPr>
          <w:p w14:paraId="5A57D44A">
            <w:pPr>
              <w:pStyle w:val="131"/>
            </w:pPr>
            <w:r>
              <w:rPr>
                <w:rFonts w:hint="eastAsia"/>
              </w:rPr>
              <w:t>　</w:t>
            </w:r>
          </w:p>
        </w:tc>
      </w:tr>
      <w:tr w14:paraId="1F66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6" w:type="pct"/>
            <w:vMerge w:val="continue"/>
            <w:vAlign w:val="center"/>
          </w:tcPr>
          <w:p w14:paraId="14A3FCB7">
            <w:pPr>
              <w:pStyle w:val="131"/>
            </w:pPr>
          </w:p>
        </w:tc>
        <w:tc>
          <w:tcPr>
            <w:tcW w:w="2228" w:type="pct"/>
            <w:noWrap/>
            <w:vAlign w:val="center"/>
          </w:tcPr>
          <w:p w14:paraId="186C7DDA">
            <w:pPr>
              <w:pStyle w:val="131"/>
            </w:pPr>
            <w:r>
              <w:rPr>
                <w:rFonts w:hint="eastAsia"/>
              </w:rPr>
              <w:t>恩和俄罗斯民族乡</w:t>
            </w:r>
          </w:p>
        </w:tc>
        <w:tc>
          <w:tcPr>
            <w:tcW w:w="1042" w:type="pct"/>
            <w:noWrap/>
            <w:vAlign w:val="center"/>
          </w:tcPr>
          <w:p w14:paraId="7DCE976E">
            <w:pPr>
              <w:pStyle w:val="131"/>
            </w:pPr>
            <w:r>
              <w:rPr>
                <w:rFonts w:eastAsia="等线"/>
                <w:color w:val="000000"/>
              </w:rPr>
              <w:t>11</w:t>
            </w:r>
          </w:p>
        </w:tc>
        <w:tc>
          <w:tcPr>
            <w:tcW w:w="1004" w:type="pct"/>
            <w:noWrap/>
            <w:vAlign w:val="center"/>
          </w:tcPr>
          <w:p w14:paraId="276A4399">
            <w:pPr>
              <w:pStyle w:val="131"/>
            </w:pPr>
          </w:p>
        </w:tc>
      </w:tr>
      <w:tr w14:paraId="4558C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6" w:type="pct"/>
            <w:vMerge w:val="continue"/>
            <w:vAlign w:val="center"/>
          </w:tcPr>
          <w:p w14:paraId="6B4F8BCA">
            <w:pPr>
              <w:pStyle w:val="131"/>
            </w:pPr>
          </w:p>
        </w:tc>
        <w:tc>
          <w:tcPr>
            <w:tcW w:w="2228" w:type="pct"/>
            <w:noWrap/>
            <w:vAlign w:val="center"/>
          </w:tcPr>
          <w:p w14:paraId="6DA478DE">
            <w:pPr>
              <w:pStyle w:val="131"/>
            </w:pPr>
            <w:r>
              <w:rPr>
                <w:rFonts w:hint="eastAsia"/>
              </w:rPr>
              <w:t>蒙兀室韦苏木</w:t>
            </w:r>
          </w:p>
        </w:tc>
        <w:tc>
          <w:tcPr>
            <w:tcW w:w="1042" w:type="pct"/>
            <w:noWrap/>
            <w:vAlign w:val="center"/>
          </w:tcPr>
          <w:p w14:paraId="6D0F6CF7">
            <w:pPr>
              <w:pStyle w:val="131"/>
            </w:pPr>
            <w:r>
              <w:rPr>
                <w:rFonts w:eastAsia="等线"/>
                <w:color w:val="000000"/>
              </w:rPr>
              <w:t>11</w:t>
            </w:r>
          </w:p>
        </w:tc>
        <w:tc>
          <w:tcPr>
            <w:tcW w:w="1004" w:type="pct"/>
            <w:noWrap/>
            <w:vAlign w:val="center"/>
          </w:tcPr>
          <w:p w14:paraId="7F732450">
            <w:pPr>
              <w:pStyle w:val="131"/>
            </w:pPr>
          </w:p>
        </w:tc>
      </w:tr>
      <w:tr w14:paraId="1EAD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6" w:type="pct"/>
            <w:vMerge w:val="continue"/>
            <w:vAlign w:val="center"/>
          </w:tcPr>
          <w:p w14:paraId="2D6A14A5">
            <w:pPr>
              <w:pStyle w:val="131"/>
            </w:pPr>
          </w:p>
        </w:tc>
        <w:tc>
          <w:tcPr>
            <w:tcW w:w="2228" w:type="pct"/>
            <w:noWrap/>
            <w:vAlign w:val="center"/>
          </w:tcPr>
          <w:p w14:paraId="1AB05D20">
            <w:pPr>
              <w:pStyle w:val="131"/>
            </w:pPr>
            <w:r>
              <w:rPr>
                <w:rFonts w:hint="eastAsia"/>
              </w:rPr>
              <w:t>三河回族乡</w:t>
            </w:r>
          </w:p>
        </w:tc>
        <w:tc>
          <w:tcPr>
            <w:tcW w:w="1042" w:type="pct"/>
            <w:noWrap/>
            <w:vAlign w:val="center"/>
          </w:tcPr>
          <w:p w14:paraId="0A578A90">
            <w:pPr>
              <w:pStyle w:val="131"/>
            </w:pPr>
            <w:r>
              <w:rPr>
                <w:rFonts w:eastAsia="等线"/>
                <w:color w:val="000000"/>
              </w:rPr>
              <w:t>17</w:t>
            </w:r>
          </w:p>
        </w:tc>
        <w:tc>
          <w:tcPr>
            <w:tcW w:w="1004" w:type="pct"/>
            <w:noWrap/>
            <w:vAlign w:val="center"/>
          </w:tcPr>
          <w:p w14:paraId="5954B7D4">
            <w:pPr>
              <w:pStyle w:val="131"/>
            </w:pPr>
            <w:r>
              <w:rPr>
                <w:rFonts w:hint="eastAsia"/>
              </w:rPr>
              <w:t>　</w:t>
            </w:r>
          </w:p>
        </w:tc>
      </w:tr>
      <w:tr w14:paraId="0D62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6" w:type="pct"/>
            <w:vMerge w:val="continue"/>
            <w:vAlign w:val="center"/>
          </w:tcPr>
          <w:p w14:paraId="150A5F2A">
            <w:pPr>
              <w:pStyle w:val="131"/>
            </w:pPr>
          </w:p>
        </w:tc>
        <w:tc>
          <w:tcPr>
            <w:tcW w:w="2228" w:type="pct"/>
            <w:noWrap/>
            <w:vAlign w:val="center"/>
          </w:tcPr>
          <w:p w14:paraId="0ACD6A16">
            <w:pPr>
              <w:pStyle w:val="131"/>
            </w:pPr>
            <w:r>
              <w:rPr>
                <w:rFonts w:hint="eastAsia"/>
              </w:rPr>
              <w:t>小计</w:t>
            </w:r>
          </w:p>
        </w:tc>
        <w:tc>
          <w:tcPr>
            <w:tcW w:w="1042" w:type="pct"/>
            <w:noWrap/>
            <w:vAlign w:val="center"/>
          </w:tcPr>
          <w:p w14:paraId="5536A923">
            <w:pPr>
              <w:pStyle w:val="131"/>
            </w:pPr>
            <w:r>
              <w:rPr>
                <w:rFonts w:eastAsia="等线"/>
                <w:color w:val="000000"/>
              </w:rPr>
              <w:t>83</w:t>
            </w:r>
          </w:p>
        </w:tc>
        <w:tc>
          <w:tcPr>
            <w:tcW w:w="1004" w:type="pct"/>
            <w:noWrap/>
            <w:vAlign w:val="center"/>
          </w:tcPr>
          <w:p w14:paraId="6D8EDBA4">
            <w:pPr>
              <w:pStyle w:val="131"/>
            </w:pPr>
            <w:r>
              <w:t>4565</w:t>
            </w:r>
          </w:p>
        </w:tc>
      </w:tr>
      <w:bookmarkEnd w:id="78"/>
    </w:tbl>
    <w:p w14:paraId="12D20E85">
      <w:pPr>
        <w:pStyle w:val="82"/>
        <w:ind w:firstLine="648"/>
      </w:pPr>
      <w:r>
        <w:rPr>
          <w:rFonts w:hint="eastAsia"/>
        </w:rPr>
        <w:t>规划实施东北黑土区侵蚀沟综合治理工程，至</w:t>
      </w:r>
      <w:r>
        <w:t>2035</w:t>
      </w:r>
      <w:r>
        <w:rPr>
          <w:rFonts w:hint="eastAsia"/>
        </w:rPr>
        <w:t>年治理侵蚀沟</w:t>
      </w:r>
      <w:r>
        <w:t>1035</w:t>
      </w:r>
      <w:r>
        <w:rPr>
          <w:rFonts w:hint="eastAsia"/>
        </w:rPr>
        <w:t>条，治理面积</w:t>
      </w:r>
      <w:r>
        <w:t>34km</w:t>
      </w:r>
      <w:r>
        <w:rPr>
          <w:vertAlign w:val="superscript"/>
        </w:rPr>
        <w:t>2</w:t>
      </w:r>
      <w:r>
        <w:rPr>
          <w:rFonts w:hint="eastAsia"/>
        </w:rPr>
        <w:t>，工程投资</w:t>
      </w:r>
      <w:r>
        <w:t>39562.5</w:t>
      </w:r>
      <w:r>
        <w:rPr>
          <w:rFonts w:hint="eastAsia"/>
        </w:rPr>
        <w:t>万元。构建工程措施与植物措施相结合、坡面治理与沟道治理相配套的水土流失综合防治体系，减缓水土流失。</w:t>
      </w:r>
    </w:p>
    <w:p w14:paraId="721F30D1">
      <w:pPr>
        <w:pStyle w:val="82"/>
        <w:ind w:firstLine="648"/>
      </w:pPr>
      <w:r>
        <w:rPr>
          <w:rFonts w:hint="eastAsia"/>
        </w:rPr>
        <w:t>按照“综合治理、因地制宜”的水土保持工作方针，以小流域(或片区)为基本治理单元，针对流域内治理对象及水土流失特点，选择适宜的治理措施。采取“一沟一策、因沟施策”的原则，针对不同侵蚀沟的特点进行治理，对大型沟道主要采取沟头防护、铅丝石笼谷坊和沟道护砌等措施，并结合植物措施加以综合治理，对中型较小沟道主要采取填埋治理，以恢复耕地及保护耕地周边水系土壤环境的稳定，遏制侵蚀沟道发展。</w:t>
      </w:r>
    </w:p>
    <w:p w14:paraId="55AE1039">
      <w:pPr>
        <w:pStyle w:val="64"/>
      </w:pPr>
      <w:r>
        <w:t>4</w:t>
      </w:r>
      <w:r>
        <w:rPr>
          <w:rFonts w:hint="eastAsia"/>
        </w:rPr>
        <w:t>. 水土保持监测</w:t>
      </w:r>
    </w:p>
    <w:p w14:paraId="5916DBAA">
      <w:pPr>
        <w:pStyle w:val="82"/>
        <w:ind w:firstLine="648"/>
      </w:pPr>
      <w:r>
        <w:rPr>
          <w:rFonts w:hint="eastAsia"/>
        </w:rPr>
        <w:t>额尔古纳市的监测目标是建立健全水土保持监测站网和信息系统，形成高效便捷的信息采集、传输、管理、发布和服务体系，实现对水土流失及其防治效果的动态监测、评价和定期公告，充分发挥水土保持监测在政府决策、经济社会发展和社会公众服务中的重要作用，为全面推进水土保持生态建设提供技术支撑。</w:t>
      </w:r>
    </w:p>
    <w:p w14:paraId="56C76C88">
      <w:pPr>
        <w:pStyle w:val="82"/>
        <w:ind w:firstLine="648"/>
      </w:pPr>
      <w:r>
        <w:rPr>
          <w:rFonts w:hint="eastAsia"/>
        </w:rPr>
        <w:t>依托内蒙古自治区水土保持基础信息平台，开展全市及重点区域水土保持普查工作；强化监测管理制度体系建设，完善监测评价体系，健全监测管理机制和运行机制；加强监测技术人员考核培训，积极开展科学研究与监测技术推广。</w:t>
      </w:r>
    </w:p>
    <w:p w14:paraId="20446880">
      <w:pPr>
        <w:pStyle w:val="82"/>
        <w:ind w:firstLine="648"/>
      </w:pPr>
      <w:r>
        <w:rPr>
          <w:rFonts w:hint="eastAsia"/>
        </w:rPr>
        <w:t>以《全国水土保持监测规划（2011-2030年）》为指导，结合《内蒙古自治区水土保持监测实施方案（2023-2027年）》成果，针对监测站网建设现状，建立健全监测机构、完善监测站点，对江河源头区等重点区域加大监测力度，建成布局合理、功能完善的监测站网体系。力争203</w:t>
      </w:r>
      <w:r>
        <w:t>5</w:t>
      </w:r>
      <w:r>
        <w:rPr>
          <w:rFonts w:hint="eastAsia"/>
        </w:rPr>
        <w:t>年前在额尔古纳市境内建设水力侵蚀监测站点（依托上级监测网络技术），由额尔古纳市水利局负责监测点运行。</w:t>
      </w:r>
    </w:p>
    <w:p w14:paraId="0223DC30">
      <w:pPr>
        <w:pStyle w:val="64"/>
      </w:pPr>
      <w:r>
        <w:t>5</w:t>
      </w:r>
      <w:r>
        <w:rPr>
          <w:rFonts w:hint="eastAsia"/>
        </w:rPr>
        <w:t>. 提升水土保持监管水平</w:t>
      </w:r>
    </w:p>
    <w:p w14:paraId="06EE9A3C">
      <w:pPr>
        <w:pStyle w:val="82"/>
        <w:ind w:firstLine="648"/>
      </w:pPr>
      <w:r>
        <w:rPr>
          <w:rFonts w:hint="eastAsia"/>
        </w:rPr>
        <w:t>规划构建额尔古纳</w:t>
      </w:r>
      <w:r>
        <w:t>“科技赋能+精准监管+严格执法”全链条体系。</w:t>
      </w:r>
      <w:r>
        <w:rPr>
          <w:rFonts w:hint="eastAsia"/>
        </w:rPr>
        <w:t>严格审批关口，确保水土保持方案科学可行；</w:t>
      </w:r>
      <w:r>
        <w:t>在生产建设项目监管中，依托卫星遥感技术开展图斑常态化核查，精准锁定违法违规项目</w:t>
      </w:r>
      <w:r>
        <w:rPr>
          <w:rFonts w:hint="eastAsia"/>
        </w:rPr>
        <w:t>；</w:t>
      </w:r>
      <w:r>
        <w:t>日常监管推行“网格+专班”模式，组建专业巡查队伍，</w:t>
      </w:r>
      <w:r>
        <w:rPr>
          <w:rFonts w:hint="eastAsia"/>
        </w:rPr>
        <w:t>结合线上</w:t>
      </w:r>
      <w:r>
        <w:t>平台实时追踪项目进度，确保防治措施落地</w:t>
      </w:r>
      <w:r>
        <w:rPr>
          <w:rFonts w:hint="eastAsia"/>
        </w:rPr>
        <w:t>；</w:t>
      </w:r>
      <w:r>
        <w:t>执法环节坚持“严”字当头，建立部门联合执法机制，对未批先建、未落实防治措施等行为</w:t>
      </w:r>
      <w:r>
        <w:rPr>
          <w:rFonts w:hint="eastAsia"/>
        </w:rPr>
        <w:t>依法处罚；</w:t>
      </w:r>
      <w:r>
        <w:t>全面落实“双随机一公开”执法，随机抽取检查对象与执法人员，检查结果及时公示，提升监管透明度</w:t>
      </w:r>
      <w:r>
        <w:rPr>
          <w:rFonts w:hint="eastAsia"/>
        </w:rPr>
        <w:t>；</w:t>
      </w:r>
      <w:r>
        <w:t>把监督管理能力建设作为强化行业管理、夯实水土保持事业发展基础的大事来抓，全面增强水土保持监督管理能力，提升水土保持监督执法水平。</w:t>
      </w:r>
    </w:p>
    <w:bookmarkEnd w:id="77"/>
    <w:p w14:paraId="66FC8CB9">
      <w:pPr>
        <w:pStyle w:val="34"/>
        <w:rPr>
          <w:color w:val="000000"/>
        </w:rPr>
      </w:pPr>
      <w:bookmarkStart w:id="79" w:name="_Toc216964769"/>
      <w:bookmarkStart w:id="80" w:name="_Toc174614105"/>
      <w:r>
        <w:rPr>
          <w:rFonts w:hint="eastAsia"/>
        </w:rPr>
        <w:t>（三）推进重点河湖生态保护修复</w:t>
      </w:r>
      <w:bookmarkEnd w:id="79"/>
      <w:bookmarkEnd w:id="80"/>
    </w:p>
    <w:p w14:paraId="72932459">
      <w:pPr>
        <w:pStyle w:val="64"/>
      </w:pPr>
      <w:r>
        <w:rPr>
          <w:rFonts w:hint="eastAsia"/>
        </w:rPr>
        <w:t>1. 强化河湖生态空间管控</w:t>
      </w:r>
    </w:p>
    <w:p w14:paraId="13A0E28F">
      <w:pPr>
        <w:pStyle w:val="82"/>
        <w:ind w:firstLine="648"/>
      </w:pPr>
      <w:r>
        <w:t>按照《水利部关于加强河湖水域岸线空间管控的指导意见》等的要求，以完善河湖管理范围划定成果、因地制宜安排河湖管理保护控制带、严格岸线分区分类管控、严格依法依规审批涉河建设项目、严格管控各类水域岸线利用行为、依法规范河湖管理范围内耕地利用、规范处置涉水违建问题等为重点，加强河湖水域岸线空间管控，助力河湖生态环境复苏。</w:t>
      </w:r>
    </w:p>
    <w:p w14:paraId="0E9E1D52">
      <w:pPr>
        <w:pStyle w:val="64"/>
      </w:pPr>
      <w:r>
        <w:rPr>
          <w:rFonts w:hint="eastAsia"/>
        </w:rPr>
        <w:t>2. 强化河湖生态流量（水量）保障</w:t>
      </w:r>
    </w:p>
    <w:p w14:paraId="083CAB78">
      <w:pPr>
        <w:pStyle w:val="82"/>
        <w:ind w:firstLine="648"/>
      </w:pPr>
      <w:r>
        <w:rPr>
          <w:rFonts w:hint="eastAsia"/>
        </w:rPr>
        <w:t>有序提出额尔古纳市生态流量（水量）管理河湖名录，确定生态流量控制断面，提出河湖生态流量（水量）管控目标，推进生态流量管理全覆盖。科学核算重点河流、湖泊生态需水量，将生态需水量纳入每年年度用水计划，确保湿地面积不缩减、服务功能不降低。编制河湖生态流量（水量）保障实施方案，明确河湖生态流量（水量）管控目标、责任主体和主要任务、保障措施，提高生态流量保障。结合河湖生态流量常态化监测和管控，强化监管与预警机制，及时发布预警信息，按照预案落实动态管理。加快建立基于河湖生态保护目标要求下河湖生态流量及过程监测体系，构建完善的流域生态流量及过程监管机制，将河湖生态流量保障情况纳入河湖长制统一管理。对实施生态流量保障的河流、湖库进行清单式管理，落实地方政府主体责任。</w:t>
      </w:r>
    </w:p>
    <w:p w14:paraId="1E38CEB8">
      <w:pPr>
        <w:pStyle w:val="64"/>
      </w:pPr>
      <w:r>
        <w:rPr>
          <w:rFonts w:hint="eastAsia"/>
        </w:rPr>
        <w:t>3. 推进</w:t>
      </w:r>
      <w:r>
        <w:t>骨干河流生态廊道</w:t>
      </w:r>
    </w:p>
    <w:p w14:paraId="5ACBAE6C">
      <w:pPr>
        <w:pStyle w:val="82"/>
        <w:ind w:firstLine="648"/>
      </w:pPr>
      <w:r>
        <w:rPr>
          <w:rFonts w:hint="eastAsia"/>
        </w:rPr>
        <w:t>（1）</w:t>
      </w:r>
      <w:r>
        <w:t>根河生态</w:t>
      </w:r>
      <w:r>
        <w:rPr>
          <w:rFonts w:hint="eastAsia"/>
        </w:rPr>
        <w:t>廊道</w:t>
      </w:r>
      <w:r>
        <w:t>建设</w:t>
      </w:r>
    </w:p>
    <w:p w14:paraId="7DE08B34">
      <w:pPr>
        <w:pStyle w:val="82"/>
        <w:ind w:firstLine="648"/>
      </w:pPr>
      <w:r>
        <w:rPr>
          <w:rFonts w:hint="eastAsia"/>
        </w:rPr>
        <w:t>根河是额尔古纳市主要</w:t>
      </w:r>
      <w:r>
        <w:t>的防洪排涝通道</w:t>
      </w:r>
      <w:r>
        <w:rPr>
          <w:rFonts w:hint="eastAsia"/>
        </w:rPr>
        <w:t>，也是</w:t>
      </w:r>
      <w:r>
        <w:t>城区</w:t>
      </w:r>
      <w:r>
        <w:rPr>
          <w:rFonts w:hint="eastAsia"/>
        </w:rPr>
        <w:t>重要的</w:t>
      </w:r>
      <w:r>
        <w:t>生态景观廊道</w:t>
      </w:r>
      <w:r>
        <w:rPr>
          <w:rFonts w:hint="eastAsia"/>
        </w:rPr>
        <w:t>。秉持“源头治理、生态恢复”理念，通过水域空间管控、河流滨岸带改造、湿地生态修复等措施，建设根河生态廊道，维护生态系统良性循环化，加强岸线</w:t>
      </w:r>
      <w:r>
        <w:t>保护，</w:t>
      </w:r>
      <w:r>
        <w:rPr>
          <w:rFonts w:hint="eastAsia"/>
        </w:rPr>
        <w:t>提升根河流域综合生态价值，积极推动根河幸福河湖建设。</w:t>
      </w:r>
    </w:p>
    <w:p w14:paraId="016B30A5">
      <w:pPr>
        <w:pStyle w:val="82"/>
        <w:ind w:firstLine="651"/>
      </w:pPr>
      <w:r>
        <w:rPr>
          <w:rFonts w:hint="eastAsia"/>
          <w:b/>
          <w:bCs/>
        </w:rPr>
        <w:t>水生态</w:t>
      </w:r>
      <w:r>
        <w:rPr>
          <w:b/>
          <w:bCs/>
        </w:rPr>
        <w:t>修复</w:t>
      </w:r>
      <w:r>
        <w:rPr>
          <w:rFonts w:hint="eastAsia"/>
          <w:b/>
          <w:bCs/>
        </w:rPr>
        <w:t>。</w:t>
      </w:r>
      <w:r>
        <w:rPr>
          <w:rFonts w:hint="eastAsia"/>
        </w:rPr>
        <w:t>实施</w:t>
      </w:r>
      <w:r>
        <w:t>河流水生态</w:t>
      </w:r>
      <w:r>
        <w:rPr>
          <w:rFonts w:hint="eastAsia"/>
        </w:rPr>
        <w:t>综合</w:t>
      </w:r>
      <w:r>
        <w:t>治理，</w:t>
      </w:r>
      <w:r>
        <w:rPr>
          <w:rFonts w:hint="eastAsia"/>
        </w:rPr>
        <w:t>额尔古纳</w:t>
      </w:r>
      <w:r>
        <w:t>城区段</w:t>
      </w:r>
      <w:r>
        <w:rPr>
          <w:rFonts w:hint="eastAsia"/>
        </w:rPr>
        <w:t>综合整治河流长度10.6km，通过恢复河流滩涂水系建设生态缓冲带，新建生态护岸</w:t>
      </w:r>
      <w:r>
        <w:rPr>
          <w:rFonts w:hint="eastAsia" w:ascii="仿宋" w:hAnsi="仿宋"/>
        </w:rPr>
        <w:t>、</w:t>
      </w:r>
      <w:r>
        <w:rPr>
          <w:rFonts w:hint="eastAsia"/>
        </w:rPr>
        <w:t>滨岸带种植绿化等改造措施，丰富水生植物，营造良好的水生态环境，</w:t>
      </w:r>
      <w:r>
        <w:rPr>
          <w:rStyle w:val="137"/>
          <w:rFonts w:hint="eastAsia"/>
        </w:rPr>
        <w:t>修复生态退化河岸线</w:t>
      </w:r>
      <w:r>
        <w:rPr>
          <w:rFonts w:hint="eastAsia"/>
        </w:rPr>
        <w:t>。</w:t>
      </w:r>
    </w:p>
    <w:p w14:paraId="2B9EC897">
      <w:pPr>
        <w:pStyle w:val="82"/>
        <w:ind w:firstLine="651"/>
      </w:pPr>
      <w:r>
        <w:rPr>
          <w:rFonts w:hint="eastAsia"/>
          <w:b/>
          <w:bCs/>
        </w:rPr>
        <w:t>幸福河湖建设。</w:t>
      </w:r>
      <w:r>
        <w:rPr>
          <w:rFonts w:hint="eastAsia"/>
        </w:rPr>
        <w:t>提升居民亲水指数，建设亲水戏水设施；积极</w:t>
      </w:r>
      <w:r>
        <w:t>推进</w:t>
      </w:r>
      <w:r>
        <w:rPr>
          <w:rFonts w:hint="eastAsia"/>
        </w:rPr>
        <w:t>水情教育基地、节水示范基地建设；增强文化融合，在根河周边或额尔古纳湿地</w:t>
      </w:r>
      <w:r>
        <w:t>公园标识中融合</w:t>
      </w:r>
      <w:r>
        <w:rPr>
          <w:rFonts w:hint="eastAsia"/>
        </w:rPr>
        <w:t>水文化元素；加强文化宣传科普教育，包括制作根河文化主题宣传视频，举办传统水文化主题活动，生产水文化创意产品，在主流媒体对河湖水文化进行宣传报道等。</w:t>
      </w:r>
    </w:p>
    <w:p w14:paraId="7E167D25">
      <w:pPr>
        <w:pStyle w:val="82"/>
        <w:ind w:firstLine="651"/>
      </w:pPr>
      <w:r>
        <w:rPr>
          <w:rFonts w:hint="eastAsia"/>
          <w:b/>
          <w:bCs/>
        </w:rPr>
        <w:t>水</w:t>
      </w:r>
      <w:r>
        <w:rPr>
          <w:b/>
          <w:bCs/>
        </w:rPr>
        <w:t>景观营造</w:t>
      </w:r>
      <w:r>
        <w:rPr>
          <w:rFonts w:hint="eastAsia"/>
          <w:b/>
          <w:bCs/>
        </w:rPr>
        <w:t>。</w:t>
      </w:r>
      <w:r>
        <w:rPr>
          <w:rFonts w:hint="eastAsia"/>
        </w:rPr>
        <w:t>重点加强</w:t>
      </w:r>
      <w:r>
        <w:t>额尔古纳湿地保护</w:t>
      </w:r>
      <w:r>
        <w:rPr>
          <w:rFonts w:hint="eastAsia"/>
        </w:rPr>
        <w:t>，</w:t>
      </w:r>
      <w:r>
        <w:rPr>
          <w:rFonts w:hint="eastAsia" w:ascii="仿宋" w:hAnsi="仿宋" w:eastAsia="仿宋" w:cs="仿宋"/>
          <w:color w:val="000000" w:themeColor="text1"/>
          <w:szCs w:val="32"/>
          <w14:textFill>
            <w14:solidFill>
              <w14:schemeClr w14:val="tx1"/>
            </w14:solidFill>
          </w14:textFill>
        </w:rPr>
        <w:t>统筹额尔古纳湿地周边自然风景资源，推进现状设施的资源整合和改造提升，打造自然生态型</w:t>
      </w:r>
      <w:r>
        <w:rPr>
          <w:rFonts w:hint="eastAsia"/>
        </w:rPr>
        <w:t>岸线和功能复合的滨水空间。</w:t>
      </w:r>
    </w:p>
    <w:p w14:paraId="7699E73F">
      <w:pPr>
        <w:pStyle w:val="82"/>
        <w:ind w:firstLine="648"/>
      </w:pPr>
      <w:r>
        <w:rPr>
          <w:rFonts w:hint="eastAsia"/>
        </w:rPr>
        <w:t>（2）得尔布干河生态廊道建设</w:t>
      </w:r>
    </w:p>
    <w:p w14:paraId="49ADE8F7">
      <w:pPr>
        <w:pStyle w:val="82"/>
        <w:ind w:firstLine="648"/>
      </w:pPr>
      <w:r>
        <w:rPr>
          <w:rFonts w:hint="eastAsia"/>
        </w:rPr>
        <w:t>得尔布干河流经内蒙古卡鲁奔国家湿地公园、内蒙古额尔古纳湿地自治区级自然保护区，生态本底条件良好。通过河流生态修复、滨岸带改造、沿河农牧场水景观营造等内容，加强</w:t>
      </w:r>
      <w:r>
        <w:t>水域空间</w:t>
      </w:r>
      <w:r>
        <w:rPr>
          <w:rFonts w:hint="eastAsia"/>
        </w:rPr>
        <w:t>管控</w:t>
      </w:r>
      <w:r>
        <w:t>和岸线保护，</w:t>
      </w:r>
      <w:r>
        <w:rPr>
          <w:rFonts w:hint="eastAsia"/>
        </w:rPr>
        <w:t>建设人水和谐的得尔布干河生态廊道。</w:t>
      </w:r>
    </w:p>
    <w:p w14:paraId="1101E92A">
      <w:pPr>
        <w:pStyle w:val="82"/>
        <w:ind w:firstLine="651"/>
      </w:pPr>
      <w:r>
        <w:rPr>
          <w:rFonts w:hint="eastAsia"/>
          <w:b/>
          <w:bCs/>
        </w:rPr>
        <w:t>生态</w:t>
      </w:r>
      <w:r>
        <w:rPr>
          <w:b/>
          <w:bCs/>
        </w:rPr>
        <w:t>修复</w:t>
      </w:r>
      <w:r>
        <w:rPr>
          <w:rFonts w:hint="eastAsia"/>
          <w:b/>
          <w:bCs/>
        </w:rPr>
        <w:t>。</w:t>
      </w:r>
      <w:r>
        <w:rPr>
          <w:rFonts w:hint="eastAsia"/>
        </w:rPr>
        <w:t>实施</w:t>
      </w:r>
      <w:r>
        <w:t>河流水生态</w:t>
      </w:r>
      <w:r>
        <w:rPr>
          <w:rFonts w:hint="eastAsia"/>
        </w:rPr>
        <w:t>综合</w:t>
      </w:r>
      <w:r>
        <w:t>治理，苏沁</w:t>
      </w:r>
      <w:r>
        <w:rPr>
          <w:rFonts w:hint="eastAsia"/>
        </w:rPr>
        <w:t>农牧场</w:t>
      </w:r>
      <w:r>
        <w:t>河段修复长度</w:t>
      </w:r>
      <w:r>
        <w:rPr>
          <w:rFonts w:hint="eastAsia"/>
        </w:rPr>
        <w:t>11.9</w:t>
      </w:r>
      <w:r>
        <w:t>km</w:t>
      </w:r>
      <w:r>
        <w:rPr>
          <w:rFonts w:hint="eastAsia"/>
        </w:rPr>
        <w:t>，通过恢复河流滩涂水系建设生态缓冲带，新建生态护岸</w:t>
      </w:r>
      <w:r>
        <w:rPr>
          <w:rFonts w:hint="eastAsia" w:ascii="仿宋" w:hAnsi="仿宋"/>
        </w:rPr>
        <w:t>、</w:t>
      </w:r>
      <w:r>
        <w:rPr>
          <w:rFonts w:hint="eastAsia"/>
        </w:rPr>
        <w:t>滨岸带种植绿化等改造措施，丰富水生植物，营造良好的水生态环境，</w:t>
      </w:r>
      <w:r>
        <w:rPr>
          <w:rStyle w:val="137"/>
          <w:rFonts w:hint="eastAsia"/>
        </w:rPr>
        <w:t>修复生态退化河岸线</w:t>
      </w:r>
      <w:r>
        <w:rPr>
          <w:rFonts w:hint="eastAsia"/>
        </w:rPr>
        <w:t>。</w:t>
      </w:r>
    </w:p>
    <w:p w14:paraId="61EB6F2E">
      <w:pPr>
        <w:pStyle w:val="82"/>
        <w:ind w:firstLine="651"/>
      </w:pPr>
      <w:r>
        <w:rPr>
          <w:rFonts w:hint="eastAsia"/>
          <w:b/>
          <w:bCs/>
        </w:rPr>
        <w:t>水</w:t>
      </w:r>
      <w:r>
        <w:rPr>
          <w:b/>
          <w:bCs/>
        </w:rPr>
        <w:t>景观营造</w:t>
      </w:r>
      <w:r>
        <w:rPr>
          <w:rFonts w:hint="eastAsia"/>
          <w:b/>
          <w:bCs/>
        </w:rPr>
        <w:t>。</w:t>
      </w:r>
      <w:r>
        <w:t>维持</w:t>
      </w:r>
      <w:r>
        <w:rPr>
          <w:rFonts w:hint="eastAsia"/>
        </w:rPr>
        <w:t>得尔布干河</w:t>
      </w:r>
      <w:r>
        <w:t>河道</w:t>
      </w:r>
      <w:r>
        <w:rPr>
          <w:rFonts w:hint="eastAsia"/>
        </w:rPr>
        <w:t>原始</w:t>
      </w:r>
      <w:r>
        <w:t>生态环境，</w:t>
      </w:r>
      <w:r>
        <w:rPr>
          <w:rFonts w:hint="eastAsia"/>
        </w:rPr>
        <w:t>以农业景观、草原景观等风貌为建设特色，打造苏沁农牧场景观节点，利用水岸地带提供更多休闲、娱乐、游憩场所，建设亲水平台、文化景墙、旅游配套等设施，营造形式多样且富有活力的滨水景观。</w:t>
      </w:r>
    </w:p>
    <w:p w14:paraId="1A56EA7A">
      <w:pPr>
        <w:pStyle w:val="64"/>
      </w:pPr>
      <w:r>
        <w:rPr>
          <w:rFonts w:hint="eastAsia"/>
        </w:rPr>
        <w:t>4. 推进农村水系</w:t>
      </w:r>
      <w:r>
        <w:t>综合整治</w:t>
      </w:r>
    </w:p>
    <w:p w14:paraId="175D26E6">
      <w:pPr>
        <w:pStyle w:val="82"/>
        <w:ind w:firstLine="648"/>
      </w:pPr>
      <w:r>
        <w:rPr>
          <w:rFonts w:hint="eastAsia"/>
        </w:rPr>
        <w:t>（1）</w:t>
      </w:r>
      <w:r>
        <w:t>建设范围</w:t>
      </w:r>
    </w:p>
    <w:p w14:paraId="07ACB26A">
      <w:pPr>
        <w:pStyle w:val="82"/>
        <w:ind w:firstLine="648"/>
      </w:pPr>
      <w:r>
        <w:rPr>
          <w:rFonts w:hint="eastAsia"/>
        </w:rPr>
        <w:t>推进哈乌鲁河、莫尔道嘎河、太平镇河、</w:t>
      </w:r>
      <w:r>
        <w:t>巴尔扎贯郭勒4</w:t>
      </w:r>
      <w:r>
        <w:rPr>
          <w:rFonts w:hint="eastAsia"/>
        </w:rPr>
        <w:t>条河流为纽带的支流水系生态建设，聚焦乡村段进行综合整治，涉及5个乡镇，5个村庄规划治理河道长度共</w:t>
      </w:r>
      <w:r>
        <w:t>14km</w:t>
      </w:r>
      <w:r>
        <w:rPr>
          <w:rFonts w:hint="eastAsia"/>
        </w:rPr>
        <w:t>。通过滨岸带修复、水环境治理、景观风貌塑造等措施，实现区域“河畅、水清、岸绿、景美、人和”的目标，建设具有草原民族特色的水美乡村，助力农村人居环境质量提升，增强农村群众的获得感、幸福感、安全感。</w:t>
      </w:r>
    </w:p>
    <w:p w14:paraId="6BDE66B7">
      <w:pPr>
        <w:pStyle w:val="82"/>
        <w:ind w:firstLine="648"/>
      </w:pPr>
      <w:r>
        <w:rPr>
          <w:rFonts w:hint="eastAsia"/>
        </w:rPr>
        <w:t>（2）</w:t>
      </w:r>
      <w:r>
        <w:t>主要措施</w:t>
      </w:r>
    </w:p>
    <w:p w14:paraId="240F2D67">
      <w:pPr>
        <w:pStyle w:val="82"/>
        <w:ind w:firstLine="648"/>
      </w:pPr>
      <w:r>
        <w:rPr>
          <w:rFonts w:hint="eastAsia"/>
        </w:rPr>
        <w:t>加强水环境综合治理。结合美丽乡村建设完善村镇污水收集处理设施、清理农村河流水草及岸坡杂物、构建滨水植被群落，减少入河湖污染物，改善水体环境，营造安全、生态、美丽农村水系。</w:t>
      </w:r>
    </w:p>
    <w:p w14:paraId="2E286ED4">
      <w:pPr>
        <w:pStyle w:val="82"/>
        <w:ind w:firstLine="648"/>
      </w:pPr>
      <w:r>
        <w:rPr>
          <w:rFonts w:hint="eastAsia"/>
        </w:rPr>
        <w:t>实施岸坡整治和生态缓冲带建设。以维护河流的自然形态为重点，对乡镇内河道进行生态护岸建设。逐步形成格局完整、形态自然、岸坡稳定整洁的美丽河湖生态空间体系。</w:t>
      </w:r>
    </w:p>
    <w:p w14:paraId="0FE06D6A">
      <w:pPr>
        <w:pStyle w:val="82"/>
        <w:ind w:firstLine="648"/>
      </w:pPr>
      <w:r>
        <w:rPr>
          <w:rFonts w:hint="eastAsia"/>
        </w:rPr>
        <w:t>加强乡村人文景观建设。以河湖水域岸带为载体</w:t>
      </w:r>
      <w:r>
        <w:rPr>
          <w:rFonts w:hint="eastAsia"/>
          <w:color w:val="000000" w:themeColor="text1"/>
          <w14:textFill>
            <w14:solidFill>
              <w14:schemeClr w14:val="tx1"/>
            </w14:solidFill>
          </w14:textFill>
        </w:rPr>
        <w:t>串联沿线村落，在乡村集聚位置打造滨水景观</w:t>
      </w:r>
      <w:r>
        <w:rPr>
          <w:rFonts w:hint="eastAsia"/>
        </w:rPr>
        <w:t>节点</w:t>
      </w:r>
      <w:r>
        <w:rPr>
          <w:rFonts w:hint="eastAsia"/>
          <w:color w:val="000000" w:themeColor="text1"/>
          <w14:textFill>
            <w14:solidFill>
              <w14:schemeClr w14:val="tx1"/>
            </w14:solidFill>
          </w14:textFill>
        </w:rPr>
        <w:t>，</w:t>
      </w:r>
      <w:r>
        <w:rPr>
          <w:rFonts w:hint="eastAsia"/>
        </w:rPr>
        <w:t>融合自然生态景观与人文历史、民族特色，延续水林田镇村共生的空间肌理</w:t>
      </w:r>
      <w:r>
        <w:rPr>
          <w:rFonts w:hint="eastAsia"/>
          <w:color w:val="000000" w:themeColor="text1"/>
          <w14:textFill>
            <w14:solidFill>
              <w14:schemeClr w14:val="tx1"/>
            </w14:solidFill>
          </w14:textFill>
        </w:rPr>
        <w:t>。</w:t>
      </w:r>
      <w:r>
        <w:rPr>
          <w:rFonts w:hint="eastAsia"/>
        </w:rPr>
        <w:t>满足居民休憩、乡村文旅开发、文化传承等多重需求，带动乡村旅游发展。</w:t>
      </w:r>
    </w:p>
    <w:p w14:paraId="2994DA73">
      <w:pPr>
        <w:pStyle w:val="64"/>
      </w:pPr>
      <w:r>
        <w:rPr>
          <w:rFonts w:hint="eastAsia"/>
        </w:rPr>
        <w:t>5. 推进水源地保护</w:t>
      </w:r>
    </w:p>
    <w:p w14:paraId="10401F65">
      <w:pPr>
        <w:pStyle w:val="82"/>
        <w:ind w:firstLine="648"/>
      </w:pPr>
      <w:bookmarkStart w:id="81" w:name="_Toc174614108"/>
      <w:bookmarkStart w:id="82" w:name="_Toc175063531"/>
      <w:bookmarkStart w:id="83" w:name="_Toc16934"/>
      <w:bookmarkStart w:id="84" w:name="_Toc17008"/>
      <w:bookmarkStart w:id="85" w:name="_Toc11907"/>
      <w:bookmarkStart w:id="86" w:name="_Toc160716805"/>
      <w:bookmarkStart w:id="87" w:name="_Toc30965"/>
      <w:bookmarkStart w:id="88" w:name="_Toc26738"/>
      <w:bookmarkStart w:id="89" w:name="_Toc164320496"/>
      <w:r>
        <w:rPr>
          <w:rFonts w:hint="eastAsia"/>
        </w:rPr>
        <w:t>额尔古纳市共有8处集中供水工程，其中千人以上集中式饮用水工程有6处。针对集中式饮用水工程，按照“水量保障、水质合格、监控完备、制度健全”要求，开展“一源一策”安全保障达标建设。对现状饮用水水源地进行安全达标建设，修缮漏损管网，对不能满足供水需求的水源地进行巩固提升；采取生物和生态工程技术，减少水源地污染隐患，对饮用水水源地保护区周边湿地和滨岸带进行隔离防护、封育管理，提高水源地植被覆盖率，提高水源地保土蓄水能力，构建水源地安全保障多重防线。</w:t>
      </w:r>
    </w:p>
    <w:p w14:paraId="408791C8">
      <w:pPr>
        <w:pStyle w:val="82"/>
        <w:ind w:firstLine="648"/>
        <w:sectPr>
          <w:pgSz w:w="11906" w:h="16838"/>
          <w:pgMar w:top="1418" w:right="1418" w:bottom="1418" w:left="1418" w:header="851" w:footer="992" w:gutter="0"/>
          <w:cols w:space="425" w:num="1"/>
          <w:docGrid w:type="lines" w:linePitch="312" w:charSpace="0"/>
        </w:sectPr>
      </w:pPr>
    </w:p>
    <w:p w14:paraId="6EC41BE5">
      <w:pPr>
        <w:pStyle w:val="208"/>
        <w:rPr>
          <w:rFonts w:hint="eastAsia"/>
        </w:rPr>
      </w:pPr>
      <w:bookmarkStart w:id="90" w:name="_Toc216964770"/>
      <w:r>
        <w:rPr>
          <w:rFonts w:hint="eastAsia"/>
        </w:rPr>
        <w:t>七、构建数字孪生水网</w:t>
      </w:r>
      <w:bookmarkEnd w:id="81"/>
      <w:bookmarkEnd w:id="90"/>
    </w:p>
    <w:p w14:paraId="7D67D1E5">
      <w:pPr>
        <w:pStyle w:val="34"/>
      </w:pPr>
      <w:bookmarkStart w:id="91" w:name="_Toc216964771"/>
      <w:r>
        <w:rPr>
          <w:rFonts w:hint="eastAsia"/>
        </w:rPr>
        <w:t>（一）建设思路</w:t>
      </w:r>
      <w:bookmarkEnd w:id="91"/>
    </w:p>
    <w:p w14:paraId="5D75957A">
      <w:pPr>
        <w:spacing w:line="360" w:lineRule="auto"/>
        <w:ind w:firstLine="600"/>
        <w:rPr>
          <w:rFonts w:eastAsia="仿宋_GB2312"/>
          <w:spacing w:val="2"/>
          <w:szCs w:val="28"/>
        </w:rPr>
      </w:pPr>
      <w:r>
        <w:rPr>
          <w:rFonts w:eastAsia="仿宋_GB2312"/>
          <w:spacing w:val="2"/>
          <w:sz w:val="32"/>
          <w:szCs w:val="28"/>
        </w:rPr>
        <w:t>按照水利部智慧水利建设顶层设计和《数字孪生水网建设技术导则（试行）》《数字孪生流域建设技术大纲（试行）》《数字孪生水利工程建设技术导则（试行）》等文件，结合</w:t>
      </w:r>
      <w:r>
        <w:rPr>
          <w:rFonts w:hint="eastAsia" w:eastAsia="仿宋_GB2312"/>
          <w:spacing w:val="2"/>
          <w:sz w:val="32"/>
          <w:szCs w:val="28"/>
        </w:rPr>
        <w:t>额尔古纳</w:t>
      </w:r>
      <w:r>
        <w:rPr>
          <w:rFonts w:eastAsia="仿宋_GB2312"/>
          <w:spacing w:val="2"/>
          <w:sz w:val="32"/>
          <w:szCs w:val="28"/>
        </w:rPr>
        <w:t>水利发展实际与信息化建设基础，建设</w:t>
      </w:r>
      <w:r>
        <w:rPr>
          <w:rFonts w:hint="eastAsia" w:eastAsia="仿宋_GB2312"/>
          <w:spacing w:val="2"/>
          <w:sz w:val="32"/>
          <w:szCs w:val="28"/>
        </w:rPr>
        <w:t>额尔古纳</w:t>
      </w:r>
      <w:r>
        <w:rPr>
          <w:rFonts w:eastAsia="仿宋_GB2312"/>
          <w:spacing w:val="2"/>
          <w:sz w:val="32"/>
          <w:szCs w:val="28"/>
        </w:rPr>
        <w:t>数字孪生水网。遵循“需求牵引、应用至上、数字赋能、提升能力”要求，全面推进算法、算据、算力建设，强化物理水网全要素和建设运行全过程的数字化映射、智能化模拟、前瞻性预演，推动数字孪生水网与物理水网同步仿真运行、虚实交互、迭代优化，提高水网智能化管理调控能力和安全保障能力。</w:t>
      </w:r>
    </w:p>
    <w:p w14:paraId="2D49E898">
      <w:pPr>
        <w:jc w:val="center"/>
        <w:rPr>
          <w:sz w:val="30"/>
          <w:szCs w:val="30"/>
        </w:rPr>
      </w:pPr>
      <w:r>
        <w:rPr>
          <w:rFonts w:hint="eastAsia"/>
        </w:rPr>
        <w:drawing>
          <wp:inline distT="0" distB="0" distL="114300" distR="114300">
            <wp:extent cx="5288280" cy="3348355"/>
            <wp:effectExtent l="0" t="0" r="7620" b="4445"/>
            <wp:docPr id="2" name="图片 2" descr="拉萨水网规划总体框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拉萨水网规划总体框架"/>
                    <pic:cNvPicPr>
                      <a:picLocks noChangeAspect="1"/>
                    </pic:cNvPicPr>
                  </pic:nvPicPr>
                  <pic:blipFill>
                    <a:blip r:embed="rId10"/>
                    <a:stretch>
                      <a:fillRect/>
                    </a:stretch>
                  </pic:blipFill>
                  <pic:spPr>
                    <a:xfrm>
                      <a:off x="0" y="0"/>
                      <a:ext cx="5288280" cy="3348355"/>
                    </a:xfrm>
                    <a:prstGeom prst="rect">
                      <a:avLst/>
                    </a:prstGeom>
                  </pic:spPr>
                </pic:pic>
              </a:graphicData>
            </a:graphic>
          </wp:inline>
        </w:drawing>
      </w:r>
    </w:p>
    <w:p w14:paraId="1CD6FDF6">
      <w:pPr>
        <w:pStyle w:val="121"/>
      </w:pPr>
      <w:r>
        <w:t xml:space="preserve">图7.1-1  </w:t>
      </w:r>
      <w:r>
        <w:rPr>
          <w:rFonts w:hint="eastAsia"/>
        </w:rPr>
        <w:t>额尔古纳市</w:t>
      </w:r>
      <w:r>
        <w:t>数字孪生水网建设总体框架</w:t>
      </w:r>
    </w:p>
    <w:p w14:paraId="5B9331BE">
      <w:pPr>
        <w:pStyle w:val="34"/>
      </w:pPr>
      <w:bookmarkStart w:id="92" w:name="_Toc216964772"/>
      <w:r>
        <w:rPr>
          <w:rFonts w:hint="eastAsia"/>
        </w:rPr>
        <w:t>（二）完善水网信息化基础设施</w:t>
      </w:r>
      <w:bookmarkEnd w:id="92"/>
    </w:p>
    <w:p w14:paraId="4155DBD5">
      <w:pPr>
        <w:ind w:firstLine="648" w:firstLineChars="200"/>
      </w:pPr>
      <w:r>
        <w:rPr>
          <w:rFonts w:hint="eastAsia" w:eastAsia="仿宋_GB2312"/>
          <w:spacing w:val="2"/>
          <w:sz w:val="32"/>
          <w:szCs w:val="28"/>
        </w:rPr>
        <w:t>结合额尔古纳市现状，全面梳理呼伦贝尔市已有监测感知体系，充分共享已有感知资源，完善额尔古纳市数字孪生水网监测感知体系。</w:t>
      </w:r>
    </w:p>
    <w:p w14:paraId="5C772542">
      <w:pPr>
        <w:pStyle w:val="64"/>
      </w:pPr>
      <w:bookmarkStart w:id="93" w:name="_Toc175063514"/>
      <w:bookmarkStart w:id="94" w:name="_Toc151651347"/>
      <w:bookmarkStart w:id="95" w:name="_Toc151640466"/>
      <w:bookmarkStart w:id="96" w:name="_Toc149582940"/>
      <w:r>
        <w:rPr>
          <w:rFonts w:hint="eastAsia"/>
        </w:rPr>
        <w:t>1. 构建监测感知网</w:t>
      </w:r>
    </w:p>
    <w:bookmarkEnd w:id="93"/>
    <w:bookmarkEnd w:id="94"/>
    <w:bookmarkEnd w:id="95"/>
    <w:bookmarkEnd w:id="96"/>
    <w:p w14:paraId="395E9A5A">
      <w:pPr>
        <w:pStyle w:val="82"/>
        <w:ind w:firstLine="648"/>
      </w:pPr>
      <w:r>
        <w:rPr>
          <w:rFonts w:hint="eastAsia"/>
        </w:rPr>
        <w:t>自然河湖水系方面，以现有监测站点为基础，围绕雨量、水位、生态流量、水质监测、</w:t>
      </w:r>
      <w:r>
        <w:t>地下水位</w:t>
      </w:r>
      <w:r>
        <w:rPr>
          <w:rFonts w:hint="eastAsia"/>
        </w:rPr>
        <w:t>等监测内容，完善重要监测站点布局。对重要河流断面建设水质、水位、水量一体化的视频在线自动监测站，实现大江大河及其重要支流（</w:t>
      </w:r>
      <w:r>
        <w:t>3000km</w:t>
      </w:r>
      <w:r>
        <w:rPr>
          <w:vertAlign w:val="superscript"/>
        </w:rPr>
        <w:t>2</w:t>
      </w:r>
      <w:r>
        <w:rPr>
          <w:rFonts w:hint="eastAsia"/>
        </w:rPr>
        <w:t>以上）、有重点防洪任务的中小河流（</w:t>
      </w:r>
      <w:r>
        <w:t>200-3000km</w:t>
      </w:r>
      <w:r>
        <w:rPr>
          <w:vertAlign w:val="superscript"/>
        </w:rPr>
        <w:t>2</w:t>
      </w:r>
      <w:r>
        <w:rPr>
          <w:rFonts w:hint="eastAsia"/>
        </w:rPr>
        <w:t>）、防洪控制性骨干水库等水文监测全覆盖。增加流域面积200</w:t>
      </w:r>
      <w:r>
        <w:t>km</w:t>
      </w:r>
      <w:r>
        <w:rPr>
          <w:vertAlign w:val="superscript"/>
        </w:rPr>
        <w:t>2</w:t>
      </w:r>
      <w:r>
        <w:rPr>
          <w:rFonts w:hint="eastAsia"/>
        </w:rPr>
        <w:t>以上区域的雨量站网密度，满足“降雨-产流-汇流”计算的需要，为滚动流域洪水预报、动态调整预警阈值提供支撑。在拉布大林煤矿西沟、那布大林主沟、恩和七卡山洪沟、恩和正阳山洪沟等15条山洪沟设置15套自动识别水位视频设施，全面提升监测预警能力。</w:t>
      </w:r>
    </w:p>
    <w:p w14:paraId="046E9597">
      <w:pPr>
        <w:pStyle w:val="82"/>
        <w:ind w:firstLine="648"/>
        <w:rPr>
          <w:bCs/>
        </w:rPr>
      </w:pPr>
      <w:r>
        <w:rPr>
          <w:rFonts w:hint="eastAsia"/>
        </w:rPr>
        <w:t>强化对具有生态流量目标的河流的生态流量监测；在莫尔道嘎镇饮水安全工程水源地、恩和俄罗斯民族乡饮水安全工程水源地、额尔古纳市蒙兀室韦苏木饮水安全工程水源地等7处水源地建设水质监测站；完善地下水监测，根据额尔古纳市地下水分布特点和实施最严格水资源管理的需要，根据水利部要求进行加密。</w:t>
      </w:r>
    </w:p>
    <w:p w14:paraId="1F9D82B8">
      <w:pPr>
        <w:pStyle w:val="82"/>
        <w:ind w:firstLine="648"/>
        <w:rPr>
          <w:bCs/>
        </w:rPr>
      </w:pPr>
      <w:r>
        <w:rPr>
          <w:rFonts w:hint="eastAsia"/>
        </w:rPr>
        <w:t>水网工程方面，加强水网工程运行及安全状态和信息化基础设施建设的融合，依托中型灌区续建配套工程，完善监测要素。补充完善墒情监测站点。完善城乡供水监测，加密管道流量、压力、水质监测点，实现分区计量，推进物联网水表改造，加强重点取用水户水量监测，实现全市工业企业、绿化等用水大户的在线监测全覆盖，推进管道阀门自动化改造。</w:t>
      </w:r>
    </w:p>
    <w:p w14:paraId="341C3AF5">
      <w:pPr>
        <w:pStyle w:val="82"/>
        <w:ind w:firstLine="648"/>
        <w:rPr>
          <w:bCs/>
        </w:rPr>
      </w:pPr>
      <w:r>
        <w:rPr>
          <w:rFonts w:hint="eastAsia"/>
        </w:rPr>
        <w:t>水利管理活动方面，依托水利部、内蒙古自治区、呼伦贝尔市卫星遥感信息服务，全面提升额尔古纳市水资源、防汛抗旱、水生态、工程运行等核心业务管理活动的重要事件、行为的动态感知能力，重点针对防汛抢险动态、水土保持动态、水域岸线占用情况、工程施工进度等实现全面动态感知，加强水土保持监测。</w:t>
      </w:r>
    </w:p>
    <w:p w14:paraId="0478B535">
      <w:pPr>
        <w:pStyle w:val="82"/>
        <w:ind w:firstLine="648"/>
        <w:rPr>
          <w:bCs/>
        </w:rPr>
      </w:pPr>
      <w:r>
        <w:rPr>
          <w:rFonts w:hint="eastAsia"/>
        </w:rPr>
        <w:t>新型监测技术手段应用方面，建立雨水情监测预报“三道防线”体系，结合额尔古纳市实际需求，新建1部测雨雷达，实现对短时强降雨高精度预报预警，建设1套高空云台重力感应设备，实现雨情大范围精准监测；优化雨水情监测站点布局；在流域干流、主要支流、有防洪任务的中小河流、山洪灾害易发区及水库工程防洪影响区建立布局合理、覆盖全面的水文站网监测体系，全面提升水网监测感知能力，同时配备北斗通信信道</w:t>
      </w:r>
      <w:r>
        <w:rPr>
          <w:rFonts w:hint="eastAsia"/>
          <w:lang w:bidi="ar"/>
        </w:rPr>
        <w:t>，实现双信道报汛，确保在灾害发生时能快速实现信息传递，</w:t>
      </w:r>
      <w:r>
        <w:rPr>
          <w:rFonts w:hint="eastAsia"/>
        </w:rPr>
        <w:t>增强水文信息交换共享能力，逐步完善“空天地水工”立体化水利感知网；推广基于北斗服务的 无人机、无人船、大坝边坡位移监测等应用；</w:t>
      </w:r>
      <w:r>
        <w:rPr>
          <w:rFonts w:hint="eastAsia"/>
          <w:lang w:bidi="ar"/>
        </w:rPr>
        <w:t>加大智能监测分析技术应用，提高面向水利要素的图像与视频分析、红外遥感分析能力，实现对江河湖泊、水利工程与水网管理活动的全程掌握</w:t>
      </w:r>
      <w:r>
        <w:rPr>
          <w:rFonts w:hint="eastAsia"/>
        </w:rPr>
        <w:t>。</w:t>
      </w:r>
    </w:p>
    <w:p w14:paraId="57A9DEEC">
      <w:pPr>
        <w:pStyle w:val="64"/>
      </w:pPr>
      <w:r>
        <w:rPr>
          <w:rFonts w:hint="eastAsia"/>
        </w:rPr>
        <w:t>2. 完善水利信息传输网</w:t>
      </w:r>
    </w:p>
    <w:p w14:paraId="5123F20D">
      <w:pPr>
        <w:pStyle w:val="82"/>
        <w:ind w:firstLine="648"/>
      </w:pPr>
      <w:r>
        <w:rPr>
          <w:rFonts w:hint="eastAsia"/>
        </w:rPr>
        <w:t>完善水利业务网建设，应依托呼伦贝尔市市电子政务外网、视联网和互联网，扩展互联互通范围，实现市级水行政主管部门以及各水利工程管理单位的全面互联。扩充网络带宽，市级水管单位、大中型水利工程管理单位、灌区管理站链路带宽不低于200M；区县级水管单位、小型水利工程管理单位链路带宽不低于100M。优化网络架构，升级改造网络核心设备，全面支持IPv6，广泛应用软件定义网络等技术优化网络结构、增强资源动态调配能力。</w:t>
      </w:r>
    </w:p>
    <w:p w14:paraId="521BCD91">
      <w:pPr>
        <w:pStyle w:val="82"/>
        <w:ind w:firstLine="648"/>
      </w:pPr>
      <w:r>
        <w:rPr>
          <w:rFonts w:hint="eastAsia"/>
        </w:rPr>
        <w:t>完善水利外联网，实现额尔古纳市水利局与额尔古纳市财政、国土、环保、农业、气象等行业网络互联互通。</w:t>
      </w:r>
    </w:p>
    <w:p w14:paraId="5A91A9AE">
      <w:pPr>
        <w:pStyle w:val="82"/>
        <w:ind w:firstLine="648"/>
      </w:pPr>
      <w:r>
        <w:rPr>
          <w:rFonts w:hint="eastAsia"/>
        </w:rPr>
        <w:t>应急通信保障体系建设，加强与通信运营商在应急通信资源方面的合作共建，完善应急通信保障体系，为防洪现场险情、灾情的实时监视、会商以及应急抢险指挥调度提供应急通信通道。通过卫星网络，承载语音、数据、多媒体图像、视频等信息，将前端侦察、救援图像和单兵定位、监测数据实时传回前方指挥部，利用前方指挥部平台的视频会商功能，与后方指挥中心实现远程会商、协同指挥等应用。</w:t>
      </w:r>
    </w:p>
    <w:p w14:paraId="2346760F">
      <w:pPr>
        <w:pStyle w:val="64"/>
      </w:pPr>
      <w:bookmarkStart w:id="97" w:name="_Toc149990171"/>
      <w:bookmarkStart w:id="98" w:name="_Toc150073790"/>
      <w:bookmarkStart w:id="99" w:name="_Toc143347434"/>
      <w:bookmarkStart w:id="100" w:name="_Toc148560793"/>
      <w:bookmarkStart w:id="101" w:name="_Toc168268127"/>
      <w:bookmarkStart w:id="102" w:name="_Toc148972644"/>
      <w:bookmarkStart w:id="103" w:name="_Toc123841072"/>
      <w:r>
        <w:t xml:space="preserve">3. </w:t>
      </w:r>
      <w:r>
        <w:rPr>
          <w:rFonts w:hint="eastAsia"/>
        </w:rPr>
        <w:t>完善信息基础环境</w:t>
      </w:r>
      <w:bookmarkEnd w:id="97"/>
      <w:bookmarkEnd w:id="98"/>
      <w:bookmarkEnd w:id="99"/>
      <w:bookmarkEnd w:id="100"/>
      <w:bookmarkEnd w:id="101"/>
      <w:bookmarkEnd w:id="102"/>
    </w:p>
    <w:p w14:paraId="72564E3B">
      <w:pPr>
        <w:pStyle w:val="82"/>
        <w:ind w:firstLine="648"/>
      </w:pPr>
      <w:r>
        <w:rPr>
          <w:rFonts w:hint="eastAsia"/>
        </w:rPr>
        <w:t>配置建设应用支撑组件</w:t>
      </w:r>
      <w:bookmarkEnd w:id="103"/>
      <w:r>
        <w:rPr>
          <w:rFonts w:hint="eastAsia"/>
        </w:rPr>
        <w:t>，基于面向服务体系架构，建设通用基础组件、空间应用支撑组件、可视化支撑组件、微服务支撑组件等应用支撑组件，为数据底板、模型平台、知识平台与调度运行应用等建设提供支撑，持续推动水利各类数据和信息化成果与自治区以及其他行业部门的融合共享，实现底层共性资源的整合升级、统一管理。</w:t>
      </w:r>
    </w:p>
    <w:p w14:paraId="163699DA">
      <w:pPr>
        <w:pStyle w:val="82"/>
        <w:ind w:firstLine="648"/>
      </w:pPr>
      <w:bookmarkStart w:id="104" w:name="_Toc123841073"/>
      <w:r>
        <w:rPr>
          <w:rFonts w:hint="eastAsia"/>
        </w:rPr>
        <w:t>建设水网</w:t>
      </w:r>
      <w:bookmarkEnd w:id="104"/>
      <w:r>
        <w:rPr>
          <w:rFonts w:hint="eastAsia"/>
        </w:rPr>
        <w:t>调度指挥实体环境，在额尔古纳市水利局建设综合智能的额尔古纳市水网联合调度中心指挥环境，配置通信设备、视频会议设备、集成显示装置，部署联合调度和值班环境，针对水资源调配、防汛抗旱调度、工程安全运行监视等多级业务需要，为实现物理水网（纲、目、结）全景展示、实时通讯、方案预演、会商研判、应急指挥、统一调度等综合功能提供环境支撑，利用水利信息网，实现视频会议多级互联，实现与自治区水利厅、呼伦贝尔市和本级水利局、各工程运行管理单位的上下级联动。</w:t>
      </w:r>
    </w:p>
    <w:p w14:paraId="02655643">
      <w:pPr>
        <w:pStyle w:val="34"/>
      </w:pPr>
      <w:bookmarkStart w:id="105" w:name="_Toc216964773"/>
      <w:r>
        <w:rPr>
          <w:rFonts w:hint="eastAsia"/>
        </w:rPr>
        <w:t>（三）构建数字孪生平台</w:t>
      </w:r>
      <w:bookmarkEnd w:id="105"/>
    </w:p>
    <w:p w14:paraId="02068F4C">
      <w:pPr>
        <w:pStyle w:val="82"/>
        <w:ind w:firstLine="648"/>
      </w:pPr>
      <w:r>
        <w:rPr>
          <w:rFonts w:hint="eastAsia"/>
        </w:rPr>
        <w:t>利用云计算、物联网、大数据、人工智能、遥感、数字仿真等技术，实现对物理水网全要素和水利治理管理活动全过程的数字映射、智能模拟和前瞻预演，支撑水利业务“四预”功能实现。</w:t>
      </w:r>
    </w:p>
    <w:p w14:paraId="7FDC1CF1">
      <w:pPr>
        <w:pStyle w:val="64"/>
      </w:pPr>
      <w:bookmarkStart w:id="106" w:name="_Toc151640472"/>
      <w:bookmarkStart w:id="107" w:name="_Toc151651353"/>
      <w:bookmarkStart w:id="108" w:name="_Toc175063520"/>
      <w:bookmarkStart w:id="109" w:name="_Toc149582946"/>
      <w:r>
        <w:rPr>
          <w:rFonts w:hint="eastAsia"/>
        </w:rPr>
        <w:t xml:space="preserve">1. </w:t>
      </w:r>
      <w:r>
        <w:t>数据底板</w:t>
      </w:r>
      <w:bookmarkEnd w:id="106"/>
      <w:bookmarkEnd w:id="107"/>
      <w:bookmarkEnd w:id="108"/>
      <w:bookmarkEnd w:id="109"/>
    </w:p>
    <w:p w14:paraId="75C2B4E1">
      <w:pPr>
        <w:pStyle w:val="82"/>
        <w:ind w:firstLine="648"/>
      </w:pPr>
      <w:bookmarkStart w:id="110" w:name="_Toc175063521"/>
      <w:bookmarkStart w:id="111" w:name="_Toc149582947"/>
      <w:bookmarkStart w:id="112" w:name="_Toc151651354"/>
      <w:bookmarkStart w:id="113" w:name="_Toc151640473"/>
      <w:bookmarkStart w:id="114" w:name="_Hlk77859435"/>
      <w:r>
        <w:rPr>
          <w:rFonts w:hint="eastAsia"/>
        </w:rPr>
        <w:t>建设整合数据资源，全面梳理</w:t>
      </w:r>
      <w:r>
        <w:t>额尔古纳市</w:t>
      </w:r>
      <w:r>
        <w:rPr>
          <w:rFonts w:hint="eastAsia"/>
        </w:rPr>
        <w:t>的水利数据资源，共享获取水利部的L1、L2级地理空间数据，接入环保、气象、国土等部门的外部共享数据，按照数据交换规则，在共享数据库中进行分类分级的汇聚和共享；充分接入已建的雨水情监测、墒情监测、视频监测等的数据；整理已有的业务管理数据；建立全域水网重点流域区域的L2级数据底板，包括DOM、DEM/DSM、倾斜摄影/激光点云、水下地形等，建设花木兰、向阳灌区等重要水利工程设施的地理空间数据，形成</w:t>
      </w:r>
      <w:r>
        <w:t>额尔古纳市</w:t>
      </w:r>
      <w:r>
        <w:rPr>
          <w:rFonts w:hint="eastAsia"/>
        </w:rPr>
        <w:t>数字孪生水网的数据底板，为数字孪生水网提供数据支撑。</w:t>
      </w:r>
    </w:p>
    <w:p w14:paraId="34A0D1B4">
      <w:pPr>
        <w:pStyle w:val="82"/>
        <w:ind w:firstLine="648"/>
      </w:pPr>
      <w:r>
        <w:rPr>
          <w:rFonts w:hint="eastAsia"/>
        </w:rPr>
        <w:t>建设数据模型，面向</w:t>
      </w:r>
      <w:r>
        <w:t>额尔古纳市</w:t>
      </w:r>
      <w:r>
        <w:rPr>
          <w:rFonts w:hint="eastAsia"/>
        </w:rPr>
        <w:t>水资源管理与调配、水旱灾害防御、水生态保护修复等水利业务应用多目标、多层次复杂需求，构建能够描述水利对象空间特征、时间特征、关系特征和业务特征的水利数据模型；按照流域、行政区、河段和工程四个维度构建</w:t>
      </w:r>
      <w:r>
        <w:t>额尔古纳市</w:t>
      </w:r>
      <w:r>
        <w:rPr>
          <w:rFonts w:hint="eastAsia"/>
        </w:rPr>
        <w:t>水利网格模型，实现各项水利业务的网格化联动。</w:t>
      </w:r>
    </w:p>
    <w:p w14:paraId="5EF9C5BF">
      <w:pPr>
        <w:pStyle w:val="64"/>
      </w:pPr>
      <w:r>
        <w:rPr>
          <w:rFonts w:hint="eastAsia"/>
        </w:rPr>
        <w:t>2.</w:t>
      </w:r>
      <w:r>
        <w:t xml:space="preserve"> 模型平台</w:t>
      </w:r>
      <w:bookmarkEnd w:id="110"/>
      <w:bookmarkEnd w:id="111"/>
      <w:bookmarkEnd w:id="112"/>
      <w:bookmarkEnd w:id="113"/>
    </w:p>
    <w:p w14:paraId="35765446">
      <w:pPr>
        <w:pStyle w:val="82"/>
        <w:ind w:firstLine="648"/>
      </w:pPr>
      <w:r>
        <w:rPr>
          <w:rFonts w:hint="eastAsia"/>
        </w:rPr>
        <w:t>融合水利部、自治区资源，</w:t>
      </w:r>
      <w:bookmarkEnd w:id="114"/>
      <w:r>
        <w:rPr>
          <w:rFonts w:hint="eastAsia"/>
        </w:rPr>
        <w:t>形成水网专业模型库。构建水文模型，包括降雨预报、产汇流模型等；构建水资源模型，包括中长期径流预测模型、需水预测模型、水网可供水量分析模型、水网水量收支核算模型等；构建水工程调度模型，包括水网工程供水、防洪、水生态多目标联合调度模型，水污染、特殊干旱、工程事故等突发水事件应急调度模型等。</w:t>
      </w:r>
    </w:p>
    <w:p w14:paraId="4E1ABF81">
      <w:pPr>
        <w:pStyle w:val="82"/>
        <w:ind w:firstLine="648"/>
      </w:pPr>
      <w:r>
        <w:rPr>
          <w:rFonts w:hint="eastAsia"/>
        </w:rPr>
        <w:t>共享水利部、自治区的遥感、视频、语音智能识别模型，补充额尔古纳特色智能识别算法，自动识别河湖四乱、水土流失、水质异常等，为水网工程调度、工程安全、水资源保护等提供技术手段和数据支持。</w:t>
      </w:r>
    </w:p>
    <w:p w14:paraId="545C97AC">
      <w:pPr>
        <w:pStyle w:val="82"/>
        <w:ind w:firstLine="648"/>
      </w:pPr>
      <w:r>
        <w:rPr>
          <w:rFonts w:hint="eastAsia"/>
        </w:rPr>
        <w:t>建设可视化模型，包括自然河湖、水网工程、地理背景等模型。利用模拟仿真引擎，实现水网实时信息的多层次渲染，真实展现水网样貌、自然环境、流场细节等各种场景，实现数字孪生水网与物理水网实时同步仿真运行。</w:t>
      </w:r>
    </w:p>
    <w:p w14:paraId="55EB3EEC">
      <w:pPr>
        <w:pStyle w:val="64"/>
      </w:pPr>
      <w:bookmarkStart w:id="115" w:name="_Toc175063522"/>
      <w:bookmarkStart w:id="116" w:name="_Toc149582948"/>
      <w:bookmarkStart w:id="117" w:name="_Toc151651355"/>
      <w:bookmarkStart w:id="118" w:name="_Toc151640474"/>
      <w:r>
        <w:rPr>
          <w:rFonts w:hint="eastAsia"/>
        </w:rPr>
        <w:t>3. 知识平台</w:t>
      </w:r>
      <w:bookmarkEnd w:id="115"/>
      <w:bookmarkEnd w:id="116"/>
      <w:bookmarkEnd w:id="117"/>
      <w:bookmarkEnd w:id="118"/>
    </w:p>
    <w:p w14:paraId="5B72165D">
      <w:pPr>
        <w:pStyle w:val="82"/>
        <w:ind w:firstLine="648"/>
      </w:pPr>
      <w:r>
        <w:rPr>
          <w:rFonts w:hint="eastAsia"/>
        </w:rPr>
        <w:t>共享水利部、自治区知识，扩充额尔古纳</w:t>
      </w:r>
      <w:r>
        <w:t>市</w:t>
      </w:r>
      <w:r>
        <w:rPr>
          <w:rFonts w:hint="eastAsia"/>
        </w:rPr>
        <w:t>特色水网知识，包括水网对象关联关系、预报方案、业务规则、历史场景和调度方案等，利用知识引擎，实现水网知识表示、抽取、融合、推理和存储等功能。通过对水利知识进行提取组织和挖掘处理，构建持续迭代的水利知识体系，支持事件正向智能推理和反向溯因分析，为决策分析场景提供知识依据。</w:t>
      </w:r>
    </w:p>
    <w:p w14:paraId="1B935F95">
      <w:pPr>
        <w:pStyle w:val="34"/>
      </w:pPr>
      <w:bookmarkStart w:id="119" w:name="_Toc216964774"/>
      <w:r>
        <w:rPr>
          <w:rFonts w:hint="eastAsia"/>
        </w:rPr>
        <w:t>（四）建设水网业务应用</w:t>
      </w:r>
      <w:bookmarkEnd w:id="119"/>
    </w:p>
    <w:p w14:paraId="7D6A0847">
      <w:pPr>
        <w:pStyle w:val="82"/>
        <w:ind w:firstLine="648"/>
        <w:rPr>
          <w:sz w:val="36"/>
          <w:szCs w:val="36"/>
        </w:rPr>
      </w:pPr>
      <w:r>
        <w:rPr>
          <w:rFonts w:hint="eastAsia"/>
        </w:rPr>
        <w:t>在额尔古纳</w:t>
      </w:r>
      <w:r>
        <w:t>市</w:t>
      </w:r>
      <w:r>
        <w:rPr>
          <w:rFonts w:hint="eastAsia"/>
        </w:rPr>
        <w:t>水利信息化综合平台已有功能基础上，增加安全运行监视、联合调度决策、日常业务管理、应急事件处置等功能，全面提升水网的精细管理、预测预报、精准调度、决策支持</w:t>
      </w:r>
      <w:r>
        <w:rPr>
          <w:rFonts w:hint="eastAsia"/>
          <w:sz w:val="36"/>
          <w:szCs w:val="36"/>
        </w:rPr>
        <w:t>能力。</w:t>
      </w:r>
    </w:p>
    <w:p w14:paraId="5C60E90C">
      <w:pPr>
        <w:pStyle w:val="64"/>
        <w:ind w:firstLineChars="0"/>
      </w:pPr>
      <w:r>
        <w:rPr>
          <w:rFonts w:hint="eastAsia"/>
        </w:rPr>
        <w:t>1. 安全运行监视</w:t>
      </w:r>
    </w:p>
    <w:p w14:paraId="2F41C2E6">
      <w:pPr>
        <w:pStyle w:val="82"/>
        <w:ind w:firstLine="648"/>
      </w:pPr>
      <w:r>
        <w:rPr>
          <w:rFonts w:hint="eastAsia"/>
        </w:rPr>
        <w:t>构建水网供水安全、水质安全、工程安全等监测预警指标体系，调用相关模型，实时监视水网供水计划、调度指令执行情况，实时分析研判水源可供水量、水网供水能力，对水源、输水河渠水质进行实时分析研判，发出突发水污染事件预警，对水网工程进行全方位的故障定位、诊断分析、智能预警，评估分析水网工程的安全性、稳定性、经济性等。</w:t>
      </w:r>
    </w:p>
    <w:p w14:paraId="30ADDDC5">
      <w:pPr>
        <w:pStyle w:val="64"/>
      </w:pPr>
      <w:bookmarkStart w:id="120" w:name="_Toc151640477"/>
      <w:bookmarkStart w:id="121" w:name="_Toc175063525"/>
      <w:bookmarkStart w:id="122" w:name="_Toc151651358"/>
      <w:r>
        <w:rPr>
          <w:rFonts w:hint="eastAsia"/>
        </w:rPr>
        <w:t>2. 联合调度决策</w:t>
      </w:r>
      <w:bookmarkEnd w:id="120"/>
      <w:bookmarkEnd w:id="121"/>
      <w:bookmarkEnd w:id="122"/>
    </w:p>
    <w:p w14:paraId="402FB6E1">
      <w:pPr>
        <w:pStyle w:val="82"/>
        <w:ind w:firstLine="648"/>
      </w:pPr>
      <w:r>
        <w:rPr>
          <w:rFonts w:hint="eastAsia"/>
        </w:rPr>
        <w:t>针对水资源调配、防洪排涝调度、水生态调度等不同调度场景，开展重要断面来水预测预报、流域洪水预报，实现流域区域取用水的精细化管理和超前预警，提升对水资源供需变化、洪水、生态流量情势的动态掌控与风险应对水平，构建水网工程体系多目标联合调度应用，调用精准模拟算法，对水网运行状态进行风险识别预警，对水网工程调度控制进行多方案预演，高效确定最优方案。</w:t>
      </w:r>
    </w:p>
    <w:p w14:paraId="1BF98F5E">
      <w:pPr>
        <w:pStyle w:val="64"/>
      </w:pPr>
      <w:r>
        <w:rPr>
          <w:rFonts w:hint="eastAsia"/>
        </w:rPr>
        <w:t>3. 日常业务管理</w:t>
      </w:r>
    </w:p>
    <w:p w14:paraId="0ECB5416">
      <w:pPr>
        <w:pStyle w:val="82"/>
        <w:ind w:firstLine="648"/>
      </w:pPr>
      <w:r>
        <w:rPr>
          <w:rFonts w:hint="eastAsia"/>
        </w:rPr>
        <w:t>实现用水计划申报，调度计划申报、审批和下达，调度指令下达和执行反馈，以及调度运行年、月、旬、日台账管理等功能，支撑水网调度计划申报、审批和执行等全流程闭环管理。实现值班考勤、工作报表、通知公告、总结计划等功能，支撑水网日常运行值班等。实现水土保持、河湖管理水量水费核算、水网调度统计分析等功能，支撑水网调度管理、水权交易管理。</w:t>
      </w:r>
    </w:p>
    <w:p w14:paraId="6AD3D7E1">
      <w:pPr>
        <w:pStyle w:val="64"/>
      </w:pPr>
      <w:r>
        <w:rPr>
          <w:rFonts w:hint="eastAsia"/>
        </w:rPr>
        <w:t>4. 应急事件处置</w:t>
      </w:r>
    </w:p>
    <w:p w14:paraId="07DF8A47">
      <w:pPr>
        <w:pStyle w:val="82"/>
        <w:ind w:firstLine="648"/>
      </w:pPr>
      <w:r>
        <w:rPr>
          <w:rFonts w:hint="eastAsia"/>
        </w:rPr>
        <w:t>充分利用卫星遥感、网络舆情等手段，及时获取突发水污染、工程事故、局部暴雨、自然灾害等突发事件，结合知识平台的应急处置预案，调用突发水污染事件应急调度等模型，生成多套处置方案，并通过预演确定最优方案。支持开展异地会商，统筹调度应急资源，实时跟踪处置过程。</w:t>
      </w:r>
    </w:p>
    <w:p w14:paraId="52372ED0">
      <w:pPr>
        <w:pStyle w:val="34"/>
      </w:pPr>
      <w:bookmarkStart w:id="123" w:name="_Toc216964775"/>
      <w:r>
        <w:rPr>
          <w:rFonts w:hint="eastAsia"/>
        </w:rPr>
        <w:t>（五）推进网络安全及保障体系建设</w:t>
      </w:r>
      <w:bookmarkEnd w:id="123"/>
    </w:p>
    <w:p w14:paraId="7262F83F">
      <w:pPr>
        <w:pStyle w:val="64"/>
      </w:pPr>
      <w:r>
        <w:rPr>
          <w:rFonts w:hint="eastAsia"/>
        </w:rPr>
        <w:t>1. 网络安全体系</w:t>
      </w:r>
    </w:p>
    <w:p w14:paraId="26BC2C6C">
      <w:pPr>
        <w:pStyle w:val="82"/>
        <w:ind w:firstLine="648"/>
      </w:pPr>
      <w:r>
        <w:rPr>
          <w:rFonts w:hint="eastAsia"/>
        </w:rPr>
        <w:t>根据GB/T22240、SL803/T等标准规范，确定系统安全保护等级，构建完整的网络安全管理体系、技术体系、运营体系，加强数据安全保护，全面保障数字孪生水网系统安全和数据安全。</w:t>
      </w:r>
    </w:p>
    <w:p w14:paraId="22847DEB">
      <w:pPr>
        <w:pStyle w:val="82"/>
        <w:ind w:firstLine="648"/>
      </w:pPr>
      <w:r>
        <w:rPr>
          <w:rFonts w:hint="eastAsia"/>
        </w:rPr>
        <w:t>（1）网络安全管理体系</w:t>
      </w:r>
    </w:p>
    <w:p w14:paraId="15C49350">
      <w:pPr>
        <w:pStyle w:val="82"/>
        <w:ind w:firstLine="648"/>
      </w:pPr>
      <w:r>
        <w:rPr>
          <w:rFonts w:hint="eastAsia"/>
        </w:rPr>
        <w:t>建立由制度、规范、流程和规程构成的网络安全管理制度标准体系，健全网络安全工作组织机构，落实网络安全管理人员。建立供应链安全管理制度，严格软硬件供应商、开发单位、设计单位、集成单位、运行维护单位和人员的管理，优先采购安全可信的网络产品和服务。</w:t>
      </w:r>
    </w:p>
    <w:p w14:paraId="0C408371">
      <w:pPr>
        <w:pStyle w:val="82"/>
        <w:ind w:firstLine="648"/>
      </w:pPr>
      <w:r>
        <w:rPr>
          <w:rFonts w:hint="eastAsia"/>
        </w:rPr>
        <w:t>（2）网络安全技术体系</w:t>
      </w:r>
    </w:p>
    <w:p w14:paraId="30237C2B">
      <w:pPr>
        <w:pStyle w:val="82"/>
        <w:ind w:firstLine="648"/>
      </w:pPr>
      <w:r>
        <w:rPr>
          <w:rFonts w:hint="eastAsia"/>
        </w:rPr>
        <w:t>完善工控网、物联网、采集终端的安全建设，依托额尔古纳政务云的网络安全体系，加强数字孪生水网数据安全、应用安全防护，形成体系化网络安全纵深防御技术基础。</w:t>
      </w:r>
    </w:p>
    <w:p w14:paraId="5685087A">
      <w:pPr>
        <w:pStyle w:val="82"/>
        <w:ind w:firstLine="648"/>
      </w:pPr>
      <w:r>
        <w:rPr>
          <w:rFonts w:hint="eastAsia"/>
        </w:rPr>
        <w:t>工控系统安全防护应落实系统分区分域、设备安全可控、数据密码保护、网络可信准入等要求。</w:t>
      </w:r>
    </w:p>
    <w:p w14:paraId="010F233D">
      <w:pPr>
        <w:pStyle w:val="82"/>
        <w:ind w:firstLine="648"/>
      </w:pPr>
      <w:r>
        <w:rPr>
          <w:rFonts w:hint="eastAsia"/>
        </w:rPr>
        <w:t>（3）网络安全运营体系</w:t>
      </w:r>
    </w:p>
    <w:p w14:paraId="611C41A0">
      <w:pPr>
        <w:pStyle w:val="82"/>
        <w:ind w:firstLine="648"/>
      </w:pPr>
      <w:r>
        <w:rPr>
          <w:rFonts w:hint="eastAsia"/>
        </w:rPr>
        <w:t>建立基层安全运营平台，实现安全运营全过程标准化覆盖，提升网络安全运行水平。</w:t>
      </w:r>
    </w:p>
    <w:p w14:paraId="5A225561">
      <w:pPr>
        <w:pStyle w:val="82"/>
        <w:ind w:firstLine="648"/>
      </w:pPr>
      <w:r>
        <w:rPr>
          <w:rFonts w:hint="eastAsia"/>
        </w:rPr>
        <w:t>（4）数据安全</w:t>
      </w:r>
    </w:p>
    <w:p w14:paraId="07B19304">
      <w:pPr>
        <w:pStyle w:val="82"/>
        <w:ind w:firstLine="648"/>
      </w:pPr>
      <w:r>
        <w:rPr>
          <w:rFonts w:hint="eastAsia"/>
        </w:rPr>
        <w:t>重要数据防护逐级落实数据安全责任，进行数据分类分级并识别细化重要数据目录，充分应用商用密码等必要措施，开展数据全生命周期安全管理，定期对关键数据进行备份。</w:t>
      </w:r>
    </w:p>
    <w:p w14:paraId="14AEB938">
      <w:pPr>
        <w:pStyle w:val="64"/>
      </w:pPr>
      <w:r>
        <w:rPr>
          <w:rFonts w:hint="eastAsia"/>
        </w:rPr>
        <w:t>2. 共建共享</w:t>
      </w:r>
    </w:p>
    <w:p w14:paraId="54563CA0">
      <w:pPr>
        <w:pStyle w:val="82"/>
        <w:ind w:firstLine="648"/>
      </w:pPr>
      <w:r>
        <w:rPr>
          <w:rFonts w:hint="eastAsia"/>
        </w:rPr>
        <w:t>依据《数字孪生流域共建共享管理办法（试行）》等要求，与水利部、自治区建设的数字孪生流域、数字孪生水网、数字孪生水利工程等充分协调，针对监测感知、数据底板、水网专业模型、水网知识等开展共建和信息共享。</w:t>
      </w:r>
    </w:p>
    <w:p w14:paraId="1F022C09">
      <w:pPr>
        <w:pStyle w:val="34"/>
      </w:pPr>
      <w:bookmarkStart w:id="124" w:name="_Toc216964776"/>
      <w:r>
        <w:rPr>
          <w:rFonts w:hint="eastAsia"/>
        </w:rPr>
        <w:t>（六）推进数字孪生工程建设</w:t>
      </w:r>
      <w:bookmarkEnd w:id="124"/>
    </w:p>
    <w:p w14:paraId="5C8743A4">
      <w:pPr>
        <w:pStyle w:val="82"/>
        <w:ind w:firstLine="648"/>
        <w:rPr>
          <w:bCs/>
        </w:rPr>
      </w:pPr>
      <w:r>
        <w:rPr>
          <w:rFonts w:hint="eastAsia"/>
        </w:rPr>
        <w:t>依据《数字孪生水利工程建设技术导则（试行）》、《数字孪生灌区建设技术指南（试行）》等技术要求，以保障水利工程安全、效益充分发挥为目标，2035年完成数字孪生工程大型灌区、数字孪生拉布大林灌区、数字孪生伊诺盖中型灌区、数字孪生大立山灌区、数字孪生花木兰灌区，远期储备数字孪生水库工程。</w:t>
      </w:r>
    </w:p>
    <w:p w14:paraId="54A7FEDB">
      <w:pPr>
        <w:pStyle w:val="82"/>
        <w:ind w:firstLine="648"/>
        <w:rPr>
          <w:bCs/>
        </w:rPr>
      </w:pPr>
      <w:r>
        <w:rPr>
          <w:rFonts w:hint="eastAsia"/>
        </w:rPr>
        <w:t>数字孪生大型灌区、数字孪生拉布大林中型灌区、数字孪生伊诺盖中型灌区、数字孪生大立山灌区、数字孪生花木兰灌区基于现有信息化建设情况，孪生灌区建设从监测感知、通信网络、信息基础环境、应用支撑软件等信息化基础设施，数据底板、模型库、知识库等数字孪生平台，灌区一张图、水资源配置与调度、水旱灾害防御、水费计收管理、灌区工程管理与运养管理业务应用系统，以及网络安全体系开展，以期实现灌区水资源的优化配置、精准调配和节约保护，水利工程的安全运行、精细管理、科学调度功能，为灌区高质量发展提供有力支撑和强力驱动。</w:t>
      </w:r>
    </w:p>
    <w:p w14:paraId="2A85BACF">
      <w:pPr>
        <w:pStyle w:val="82"/>
        <w:ind w:firstLine="648"/>
      </w:pPr>
      <w:r>
        <w:rPr>
          <w:rFonts w:hint="eastAsia"/>
        </w:rPr>
        <w:t>数字孪生工程建设过程中，重点关注水利工程三维模型建设、安全监测体系建设等方面，实现物理水利工程的在线监测、方案预演、优化调度、安全保障等目标。在三维模型建设方面，通过雷达、点云等新一代技术构建水利工程模型，强化三维模型在水利工程全生命周期运用；在安全监测体系方面，重点关注库区动态监测和坝体安全监测，科学足量埋设位移变形、渗流渗压、应力应变等监测感知设施，加强工程管理和保护区域的安防监控，提升设备设施远程化、自动化、精准化调度控制能力，确保工程运行安全和提升综合效益。</w:t>
      </w:r>
    </w:p>
    <w:p w14:paraId="036B9E92">
      <w:pPr>
        <w:pStyle w:val="82"/>
        <w:ind w:firstLine="643"/>
        <w:rPr>
          <w:b/>
          <w:spacing w:val="0"/>
          <w:kern w:val="2"/>
          <w:szCs w:val="20"/>
        </w:rPr>
      </w:pPr>
    </w:p>
    <w:p w14:paraId="424F5782">
      <w:pPr>
        <w:pStyle w:val="33"/>
        <w:rPr>
          <w:rFonts w:hint="eastAsia"/>
        </w:rPr>
        <w:sectPr>
          <w:pgSz w:w="11906" w:h="16838"/>
          <w:pgMar w:top="1418" w:right="1418" w:bottom="1418" w:left="1418" w:header="851" w:footer="992" w:gutter="0"/>
          <w:cols w:space="425" w:num="1"/>
          <w:docGrid w:type="lines" w:linePitch="312" w:charSpace="0"/>
        </w:sectPr>
      </w:pPr>
    </w:p>
    <w:p w14:paraId="1891D9E1">
      <w:pPr>
        <w:pStyle w:val="208"/>
        <w:rPr>
          <w:rFonts w:hint="eastAsia"/>
        </w:rPr>
      </w:pPr>
      <w:bookmarkStart w:id="125" w:name="_Toc216964777"/>
      <w:r>
        <w:rPr>
          <w:rFonts w:hint="eastAsia"/>
        </w:rPr>
        <w:t>八、推动水网高质量发展</w:t>
      </w:r>
      <w:bookmarkEnd w:id="82"/>
      <w:bookmarkEnd w:id="125"/>
    </w:p>
    <w:p w14:paraId="5B438996">
      <w:pPr>
        <w:pStyle w:val="82"/>
        <w:ind w:firstLine="648"/>
      </w:pPr>
      <w:bookmarkStart w:id="126" w:name="_Toc175063532"/>
      <w:bookmarkStart w:id="127" w:name="_Toc174085886"/>
      <w:r>
        <w:rPr>
          <w:rFonts w:hint="eastAsia"/>
        </w:rPr>
        <w:t>针对水网工程建设规模大、投资需求多、运行维护重的特点，通过改革创新，完善水网建设、运营、投融资、法律等体制机制，推动</w:t>
      </w:r>
      <w:r>
        <w:t>安全发展</w:t>
      </w:r>
      <w:r>
        <w:rPr>
          <w:rFonts w:hint="eastAsia"/>
        </w:rPr>
        <w:t>、</w:t>
      </w:r>
      <w:r>
        <w:t>推动绿色发展、统筹融合发展，</w:t>
      </w:r>
      <w:r>
        <w:rPr>
          <w:rFonts w:hint="eastAsia"/>
        </w:rPr>
        <w:t>充分调动各方积极性，协同推进额尔古纳市市水网建设，确保水网良性安全运行和综合效益充分发挥。</w:t>
      </w:r>
    </w:p>
    <w:p w14:paraId="3EA1D5C4">
      <w:pPr>
        <w:pStyle w:val="34"/>
      </w:pPr>
      <w:bookmarkStart w:id="128" w:name="_Toc216964778"/>
      <w:r>
        <w:rPr>
          <w:rFonts w:hint="eastAsia"/>
        </w:rPr>
        <w:t>（一）推进安全发展</w:t>
      </w:r>
      <w:bookmarkEnd w:id="126"/>
      <w:bookmarkEnd w:id="127"/>
      <w:bookmarkEnd w:id="128"/>
    </w:p>
    <w:p w14:paraId="698B8F18">
      <w:pPr>
        <w:pStyle w:val="64"/>
      </w:pPr>
      <w:bookmarkStart w:id="129" w:name="_Toc175063534"/>
      <w:bookmarkStart w:id="130" w:name="_Toc150073811"/>
      <w:bookmarkStart w:id="131" w:name="_Toc144625242"/>
      <w:r>
        <w:rPr>
          <w:rFonts w:hint="eastAsia"/>
        </w:rPr>
        <w:t>1.科学识别水网风险</w:t>
      </w:r>
    </w:p>
    <w:p w14:paraId="4A91260F">
      <w:pPr>
        <w:pStyle w:val="82"/>
        <w:ind w:firstLine="648"/>
      </w:pPr>
      <w:r>
        <w:rPr>
          <w:rFonts w:hint="eastAsia"/>
        </w:rPr>
        <w:t>科学研判水网风险，全面辨识水网建设风险源，加强各类风险源排查防控，及时向当地水行政等主管部门报告重大风险源，包括资金和政策支持风险、洪水风险、水源保障及污染风险等。建立和定期更新洪旱、水资源、水生态预警指标和评价体系，为水网风险识别提供数据基础。</w:t>
      </w:r>
    </w:p>
    <w:bookmarkEnd w:id="129"/>
    <w:bookmarkEnd w:id="130"/>
    <w:bookmarkEnd w:id="131"/>
    <w:p w14:paraId="08466DFB">
      <w:pPr>
        <w:pStyle w:val="64"/>
      </w:pPr>
      <w:r>
        <w:rPr>
          <w:rFonts w:hint="eastAsia"/>
        </w:rPr>
        <w:t>2.提升水网风险防控能力</w:t>
      </w:r>
    </w:p>
    <w:p w14:paraId="7A2DB35D">
      <w:pPr>
        <w:pStyle w:val="82"/>
        <w:ind w:firstLine="648"/>
      </w:pPr>
      <w:r>
        <w:rPr>
          <w:rFonts w:hint="eastAsia"/>
        </w:rPr>
        <w:t>采用多种监测手段加强对水网风险源特别是重大风险源监控，建立健全监测巡视检查制度，发现问题及时预警。建立水网风险公告制度，落实风险管控措施，加强隐患排查治理。健全完善水网风险应急预案，合理确定应急预案内容，突出重点，落实责任主体，分级分类明确洪涝干旱、水污染、城市供水危机、河湖水生态破坏、溃坝溃堤、滑坡、泥石流等各类突发事件的应对原则、组织指挥机制、预警预报与响应程序、应急处置及保障措施等内容。</w:t>
      </w:r>
    </w:p>
    <w:p w14:paraId="734B09AD">
      <w:pPr>
        <w:pStyle w:val="64"/>
      </w:pPr>
      <w:r>
        <w:rPr>
          <w:rFonts w:hint="eastAsia"/>
        </w:rPr>
        <w:t>3.加强水网风险综合应对</w:t>
      </w:r>
    </w:p>
    <w:p w14:paraId="301F6740">
      <w:pPr>
        <w:pStyle w:val="82"/>
        <w:ind w:firstLine="648"/>
      </w:pPr>
      <w:r>
        <w:rPr>
          <w:rFonts w:hint="eastAsia"/>
        </w:rPr>
        <w:t>落实资金政策支持。结合额尔古纳市社会经济发展、生态文明建设对水网建设的需求，通过加强与自治区级层面、流域层面、市级层面的沟通协调，积极争取自治区、呼伦贝尔市政策支持及资金投入，有效控制水网建设前期风险，促进水网建设顺利实施。</w:t>
      </w:r>
    </w:p>
    <w:p w14:paraId="6D033B23">
      <w:pPr>
        <w:pStyle w:val="82"/>
        <w:ind w:firstLine="648"/>
      </w:pPr>
      <w:r>
        <w:rPr>
          <w:rFonts w:hint="eastAsia"/>
        </w:rPr>
        <w:t>加强洪水风险防范。依托洪水风险图，开展重点时段、重点区域洪水隐患排查，重点关注城镇附近边山支沟防洪情势，建立水利工程常态化除险加固机制，强化山洪灾害监测预报预警，提升防洪减灾能力。</w:t>
      </w:r>
    </w:p>
    <w:p w14:paraId="7182838E">
      <w:pPr>
        <w:pStyle w:val="82"/>
        <w:ind w:firstLine="648"/>
      </w:pPr>
      <w:r>
        <w:rPr>
          <w:rFonts w:hint="eastAsia"/>
        </w:rPr>
        <w:t>增强应急备用和水资源战略储备。加强县城应急备用水源工程建设，依托水网骨干工程建设，统筹工程措施与非工程措施，优化供水调度，增强重点区域应急供水能力。加强源头区水源涵养保护，增加水资源战略储备。</w:t>
      </w:r>
    </w:p>
    <w:p w14:paraId="4BF024BF">
      <w:pPr>
        <w:pStyle w:val="82"/>
        <w:ind w:firstLine="648"/>
      </w:pPr>
      <w:r>
        <w:rPr>
          <w:rFonts w:hint="eastAsia"/>
        </w:rPr>
        <w:t>提高水源污染风险防控能力。定期开展供水水源污染环境风险评估。制订修订供水水源污染突发环境事件应急预案，建立健全突发污染事件应急联动机制，完善应急值守、应急监测、应急演练制度。</w:t>
      </w:r>
    </w:p>
    <w:p w14:paraId="0CF82D7E">
      <w:pPr>
        <w:pStyle w:val="34"/>
      </w:pPr>
      <w:bookmarkStart w:id="132" w:name="_Toc216964779"/>
      <w:bookmarkStart w:id="133" w:name="_Toc177657898"/>
      <w:bookmarkStart w:id="134" w:name="_Toc175909851"/>
      <w:bookmarkStart w:id="135" w:name="_Toc175063536"/>
      <w:r>
        <w:rPr>
          <w:rFonts w:hint="eastAsia"/>
        </w:rPr>
        <w:t>（</w:t>
      </w:r>
      <w:r>
        <w:t>二）</w:t>
      </w:r>
      <w:r>
        <w:rPr>
          <w:rFonts w:hint="eastAsia"/>
        </w:rPr>
        <w:t>推动</w:t>
      </w:r>
      <w:r>
        <w:t>绿色发展</w:t>
      </w:r>
      <w:bookmarkEnd w:id="132"/>
      <w:bookmarkEnd w:id="133"/>
      <w:bookmarkEnd w:id="134"/>
    </w:p>
    <w:p w14:paraId="21B56633">
      <w:pPr>
        <w:pStyle w:val="64"/>
      </w:pPr>
      <w:r>
        <w:rPr>
          <w:rFonts w:hint="eastAsia"/>
        </w:rPr>
        <w:t>1. 健全刚性约束指标体系</w:t>
      </w:r>
    </w:p>
    <w:p w14:paraId="0463549E">
      <w:pPr>
        <w:pStyle w:val="82"/>
        <w:ind w:firstLine="648"/>
      </w:pPr>
      <w:r>
        <w:rPr>
          <w:rFonts w:hint="eastAsia"/>
        </w:rPr>
        <w:t>坚持把水资源作为最大的刚性约束，全方位贯彻“四水四定”原则，有效统筹好水资源承载能力与经济社会协调发展。实施“总量控制、强度控制、生态流量保障、实施全面有效计量”等重点措施，从严从细管好水资源，推动形成水资源节约集约利用的产业结构、生产方式、生活方式、空间格局，以节约集约用水的实际成效拓展和提升高质量发展空间和水平。</w:t>
      </w:r>
    </w:p>
    <w:p w14:paraId="2A1D9C34">
      <w:pPr>
        <w:pStyle w:val="64"/>
        <w:rPr>
          <w:rFonts w:eastAsia="仿宋"/>
          <w:b w:val="0"/>
          <w:bCs/>
          <w:kern w:val="2"/>
          <w:sz w:val="30"/>
          <w:szCs w:val="30"/>
        </w:rPr>
      </w:pPr>
      <w:r>
        <w:rPr>
          <w:rFonts w:hint="eastAsia"/>
        </w:rPr>
        <w:t>2.加强非常规水资源利用</w:t>
      </w:r>
    </w:p>
    <w:p w14:paraId="4F38B85E">
      <w:pPr>
        <w:pStyle w:val="82"/>
        <w:ind w:firstLine="648"/>
      </w:pPr>
      <w:r>
        <w:rPr>
          <w:rFonts w:hint="eastAsia"/>
        </w:rPr>
        <w:t>结合海绵城市建设，综合提高“渗、滞、蓄、净、用、排”功能，提高城市雨水集蓄和综合利用能力，加强雨洪水资源利用，用于河湖生态、城镇绿化等补水。加快再生水供水管网建设，配套建设再生水加压泵站，完善再生水输配设施。制定政策，引导洗车、人工滑雪场等高耗水行业优先利用再生水等非常规水源，工业冷却、服务业非接触性用水、市政杂用和景观用水应优先使用再生水，鼓励农业灌溉、城市绿化使用再生水。</w:t>
      </w:r>
    </w:p>
    <w:bookmarkEnd w:id="135"/>
    <w:p w14:paraId="1DC0F745">
      <w:pPr>
        <w:pStyle w:val="34"/>
      </w:pPr>
      <w:bookmarkStart w:id="136" w:name="_Toc174085888"/>
      <w:bookmarkStart w:id="137" w:name="_Toc175063539"/>
      <w:bookmarkStart w:id="138" w:name="_Toc216964780"/>
      <w:r>
        <w:rPr>
          <w:rFonts w:hint="eastAsia"/>
        </w:rPr>
        <w:t>（三）统筹融合发展</w:t>
      </w:r>
      <w:bookmarkEnd w:id="136"/>
      <w:bookmarkEnd w:id="137"/>
      <w:bookmarkEnd w:id="138"/>
    </w:p>
    <w:p w14:paraId="0DB344C4">
      <w:pPr>
        <w:pStyle w:val="64"/>
      </w:pPr>
      <w:r>
        <w:rPr>
          <w:rFonts w:hint="eastAsia"/>
        </w:rPr>
        <w:t>1</w:t>
      </w:r>
      <w:r>
        <w:t xml:space="preserve">. </w:t>
      </w:r>
      <w:r>
        <w:rPr>
          <w:rFonts w:hint="eastAsia"/>
        </w:rPr>
        <w:t>承接市级水网</w:t>
      </w:r>
    </w:p>
    <w:p w14:paraId="5DC29441">
      <w:pPr>
        <w:pStyle w:val="82"/>
        <w:ind w:firstLine="648"/>
      </w:pPr>
      <w:r>
        <w:rPr>
          <w:rFonts w:hint="eastAsia"/>
        </w:rPr>
        <w:t>据水利管理权限和分级管理要求，水网分为国家骨干网、省（自治区）级水网、市级水网、县级水网。省（自治区）级水网依托国家骨干网，以省内骨干河湖水系及重大水利基础设施为主骨架，构建与国家骨干水网相衔接的水流网络通道与调配网络。市县级水网是国家骨干网和省级水网的延伸，围绕提升城乡供水保障能力和推进区域河湖水系互联互通为重点，打通水资源调配、防洪排涝、农田灌溉、水生态修复“最后一公里”，构建水网基础通道和“毛细血管”。额尔古纳市水网是打通国家骨干网、调控自治区与市级水网“最后一公里”的基础单元，提升城乡水利基本公共服务水平的基础通道和“毛细血管”，在市水网体系中，处于衔接市级、秉轴持钧的关键位置。</w:t>
      </w:r>
    </w:p>
    <w:p w14:paraId="0EF6B0E7">
      <w:pPr>
        <w:pStyle w:val="64"/>
      </w:pPr>
      <w:bookmarkStart w:id="139" w:name="_Toc149582975"/>
      <w:bookmarkStart w:id="140" w:name="_Toc150762291"/>
      <w:bookmarkStart w:id="141" w:name="_Toc175063540"/>
      <w:bookmarkStart w:id="142" w:name="_Toc151640504"/>
      <w:bookmarkStart w:id="143" w:name="_Toc151651385"/>
      <w:r>
        <w:t>2</w:t>
      </w:r>
      <w:r>
        <w:rPr>
          <w:rFonts w:hint="eastAsia"/>
        </w:rPr>
        <w:t>. 推进功能融合</w:t>
      </w:r>
      <w:bookmarkEnd w:id="139"/>
      <w:bookmarkEnd w:id="140"/>
      <w:bookmarkEnd w:id="141"/>
      <w:bookmarkEnd w:id="142"/>
      <w:bookmarkEnd w:id="143"/>
    </w:p>
    <w:p w14:paraId="64A4F48B">
      <w:pPr>
        <w:pStyle w:val="82"/>
        <w:ind w:firstLine="648"/>
      </w:pPr>
      <w:r>
        <w:rPr>
          <w:rFonts w:hint="eastAsia"/>
        </w:rPr>
        <w:t>立足额尔古纳河流域整体，以水库、大中型灌区、规模以上泵站等水利工程为重点，以完善水库、灌区、泵站、机井、水厂等工程调度运行方案、加强水网统一调度为抓手，依托生态安全屏障“一张图”“一张网”建设，推动水网防洪减灾、水资源调配、水生态保护治理三大主要功能的协同融合，实现水网综合效益最大化。推进防洪、水资源配置、水生态等水网实体工程与数字孪生工程的融合，实现水网管理效益最大化。</w:t>
      </w:r>
    </w:p>
    <w:p w14:paraId="2E446F9B">
      <w:pPr>
        <w:pStyle w:val="64"/>
      </w:pPr>
      <w:bookmarkStart w:id="144" w:name="_Toc151651386"/>
      <w:bookmarkStart w:id="145" w:name="_Toc150762292"/>
      <w:bookmarkStart w:id="146" w:name="_Toc149582976"/>
      <w:bookmarkStart w:id="147" w:name="_Toc151640505"/>
      <w:bookmarkStart w:id="148" w:name="_Toc175063541"/>
      <w:r>
        <w:t>3</w:t>
      </w:r>
      <w:r>
        <w:rPr>
          <w:rFonts w:hint="eastAsia"/>
        </w:rPr>
        <w:t>. 推进部门融合</w:t>
      </w:r>
      <w:bookmarkEnd w:id="144"/>
      <w:bookmarkEnd w:id="145"/>
      <w:bookmarkEnd w:id="146"/>
      <w:bookmarkEnd w:id="147"/>
      <w:bookmarkEnd w:id="148"/>
    </w:p>
    <w:p w14:paraId="615B2BA5">
      <w:pPr>
        <w:pStyle w:val="82"/>
        <w:ind w:firstLine="648"/>
      </w:pPr>
      <w:r>
        <w:rPr>
          <w:rFonts w:hint="eastAsia"/>
        </w:rPr>
        <w:t>加强额尔古纳市水行政主管部门与发展改革、财政部门的协同融合，筹措项目资金，推进水网建设。加强水利部门与农业农村部门的协同融合，加快推进农业灌溉发展，并优先在灌区开展高标准农田建设。加强水利部门与住建部门的协同融合，统筹城区防洪与排涝。加强水利部门与生态环境、文化旅游、林业等部门的协同融合，持续加强生态保护，推进安全屏障“一张图”“一张网”建设，创新融合河湖长管理机制，推进河湖一体化保护和系统治理、水生态价值转化体系建设等。加强水利部门与公安、检察院、法院部门的协同融合，健全水行政执法与刑事司法衔接与公益诉讼协作工作机制，保障河湖安全。</w:t>
      </w:r>
    </w:p>
    <w:p w14:paraId="48B17DE0">
      <w:pPr>
        <w:pStyle w:val="64"/>
      </w:pPr>
      <w:bookmarkStart w:id="149" w:name="_Toc175063542"/>
      <w:bookmarkStart w:id="150" w:name="_Toc151640506"/>
      <w:bookmarkStart w:id="151" w:name="_Toc151651387"/>
      <w:bookmarkStart w:id="152" w:name="_Toc149582977"/>
      <w:bookmarkStart w:id="153" w:name="_Toc150762293"/>
      <w:r>
        <w:t>4</w:t>
      </w:r>
      <w:r>
        <w:rPr>
          <w:rFonts w:hint="eastAsia"/>
        </w:rPr>
        <w:t>. 推进区域融合</w:t>
      </w:r>
      <w:bookmarkEnd w:id="149"/>
      <w:bookmarkEnd w:id="150"/>
      <w:bookmarkEnd w:id="151"/>
      <w:bookmarkEnd w:id="152"/>
      <w:bookmarkEnd w:id="153"/>
    </w:p>
    <w:p w14:paraId="65FE5C18">
      <w:pPr>
        <w:pStyle w:val="82"/>
        <w:ind w:firstLine="648"/>
      </w:pPr>
      <w:r>
        <w:rPr>
          <w:rFonts w:hint="eastAsia"/>
        </w:rPr>
        <w:t>立足流域整体，加强市域内上下游、左右岸、干支流各乡镇的协同融合，确保全市防洪排涝、城乡供水、灌溉、水生态保护治理等整体目标的实现。加强额尔古纳市水网与自治区、呼伦贝尔市水网以及根河市、牙克石市、陈巴尔虎旗等相邻旗县水网的互联互通与相互衔接，发挥水网工程整体效益，打通防洪排涝和水资源调配“最后一公里”，提升城乡水利基本公共服务水平。</w:t>
      </w:r>
    </w:p>
    <w:p w14:paraId="13358D89">
      <w:pPr>
        <w:pStyle w:val="34"/>
      </w:pPr>
      <w:bookmarkStart w:id="154" w:name="_Toc216964781"/>
      <w:bookmarkStart w:id="155" w:name="_Toc175063544"/>
      <w:bookmarkStart w:id="156" w:name="_Toc174085889"/>
      <w:r>
        <w:rPr>
          <w:rFonts w:hint="eastAsia"/>
        </w:rPr>
        <w:t>（四）完善体制机制</w:t>
      </w:r>
      <w:bookmarkEnd w:id="154"/>
      <w:bookmarkEnd w:id="155"/>
      <w:bookmarkEnd w:id="156"/>
    </w:p>
    <w:p w14:paraId="172F0091">
      <w:pPr>
        <w:pStyle w:val="64"/>
      </w:pPr>
      <w:bookmarkStart w:id="157" w:name="_Toc148603089"/>
      <w:bookmarkStart w:id="158" w:name="_Toc175063545"/>
      <w:r>
        <w:rPr>
          <w:rFonts w:hint="eastAsia"/>
        </w:rPr>
        <w:t>1. 创新水网投入机制</w:t>
      </w:r>
      <w:bookmarkEnd w:id="157"/>
      <w:bookmarkEnd w:id="158"/>
    </w:p>
    <w:p w14:paraId="5F7733FB">
      <w:pPr>
        <w:pStyle w:val="82"/>
        <w:ind w:firstLine="648"/>
      </w:pPr>
      <w:bookmarkStart w:id="159" w:name="_Toc151640485"/>
      <w:bookmarkStart w:id="160" w:name="_Toc149582956"/>
      <w:bookmarkStart w:id="161" w:name="_Toc150762272"/>
      <w:bookmarkStart w:id="162" w:name="_Toc151651366"/>
      <w:r>
        <w:rPr>
          <w:rFonts w:hint="eastAsia"/>
        </w:rPr>
        <w:t>（1）积极争取中央水利投资</w:t>
      </w:r>
      <w:bookmarkEnd w:id="159"/>
      <w:bookmarkEnd w:id="160"/>
      <w:bookmarkEnd w:id="161"/>
      <w:bookmarkEnd w:id="162"/>
    </w:p>
    <w:p w14:paraId="513078C4">
      <w:pPr>
        <w:pStyle w:val="82"/>
        <w:ind w:firstLine="648"/>
      </w:pPr>
      <w:bookmarkStart w:id="163" w:name="_Toc151640486"/>
      <w:bookmarkStart w:id="164" w:name="_Toc150762273"/>
      <w:bookmarkStart w:id="165" w:name="_Toc149582957"/>
      <w:bookmarkStart w:id="166" w:name="_Toc151651367"/>
      <w:r>
        <w:rPr>
          <w:rFonts w:hint="eastAsia"/>
        </w:rPr>
        <w:t>要用足用好国家发展改革委《关于印发水利中央预算内投资专项管理办法的通知》（发改农经规[2024]1761号）相关政策，积极争取病险水库除险加固、大中型病险水闸除险加固、防洪排涝工程和水生态治理工程等中央预算内投资。同时，根据国家部署，超长期特别国债专项用于国家重大战略实施和重点领域安全能力建设，新建大中型灌区、大中型水库、大中型引调水，以及大型灌区改造提升等工程积极争取超长期特别国债资金支持。</w:t>
      </w:r>
    </w:p>
    <w:p w14:paraId="252F0140">
      <w:pPr>
        <w:pStyle w:val="82"/>
        <w:ind w:firstLine="648"/>
      </w:pPr>
      <w:r>
        <w:rPr>
          <w:rFonts w:hint="eastAsia"/>
        </w:rPr>
        <w:t>（2）积极争取政府债券资金</w:t>
      </w:r>
      <w:bookmarkEnd w:id="163"/>
      <w:bookmarkEnd w:id="164"/>
      <w:bookmarkEnd w:id="165"/>
      <w:bookmarkEnd w:id="166"/>
    </w:p>
    <w:p w14:paraId="652C1429">
      <w:pPr>
        <w:pStyle w:val="82"/>
        <w:ind w:firstLine="648"/>
      </w:pPr>
      <w:bookmarkStart w:id="167" w:name="_Toc149582958"/>
      <w:bookmarkStart w:id="168" w:name="_Toc150762274"/>
      <w:bookmarkStart w:id="169" w:name="_Toc151651368"/>
      <w:bookmarkStart w:id="170" w:name="_Toc151640487"/>
      <w:r>
        <w:rPr>
          <w:rFonts w:hint="eastAsia"/>
        </w:rPr>
        <w:t>按照《中共中央办公厅 国务院办公厅印发&lt;关于做好地方政府专项债券发行及项目配套融资工作的通知&gt;》《水利部关于进一步用好地方政府专项债券推进水利工程补短板工作的通知》《关于进一步用好地方政府专项债券扩大水利有效投资的通知》等的要求，通过发行地方政府政府专项债券，并依法依规将部分专项债券作为一定比例的项目资本金，解决重大水利建设项目地方出资问题。</w:t>
      </w:r>
    </w:p>
    <w:p w14:paraId="12C9A57E">
      <w:pPr>
        <w:pStyle w:val="82"/>
        <w:ind w:firstLine="648"/>
      </w:pPr>
      <w:r>
        <w:rPr>
          <w:rFonts w:hint="eastAsia"/>
        </w:rPr>
        <w:t>（3）积极争取社会资金</w:t>
      </w:r>
      <w:bookmarkEnd w:id="167"/>
      <w:bookmarkEnd w:id="168"/>
      <w:bookmarkEnd w:id="169"/>
      <w:bookmarkEnd w:id="170"/>
    </w:p>
    <w:p w14:paraId="50D7F574">
      <w:pPr>
        <w:pStyle w:val="82"/>
        <w:ind w:firstLine="648"/>
      </w:pPr>
      <w:bookmarkStart w:id="171" w:name="_Toc175063546"/>
      <w:bookmarkStart w:id="172" w:name="_Toc148603090"/>
      <w:r>
        <w:rPr>
          <w:rFonts w:hint="eastAsia"/>
        </w:rPr>
        <w:t>按照《关于鼓励和引导社会资本参与重大水利工程建设运营的实施意见》《水利部 国家开发银行关于加大开发性金融支持力度提升水安全保障能力的指导意见》《水利部 中国农业银行关于金融支持水利基础设施建设的指导意见》《关于推进水利基础设施投资信托资金（REITs）试点工作的指导意见》等的要求，通过争取信贷支持、盘活存量资产、特许经营、参股控股等多种方式，积极争取社会资本参与水利工程建设运营。</w:t>
      </w:r>
    </w:p>
    <w:p w14:paraId="7C3377DA">
      <w:pPr>
        <w:pStyle w:val="82"/>
        <w:ind w:firstLine="648"/>
        <w:rPr>
          <w:b/>
        </w:rPr>
      </w:pPr>
      <w:r>
        <w:rPr>
          <w:rFonts w:hint="eastAsia"/>
        </w:rPr>
        <w:t>积极盘活水利行业优质存量资产，加强水资源资产产权制度、水利工程产权制度、水价形成机制、水生态产品价值实现机制等改革协同，整合与盘活灌区、水厂、污水处理设施、河道及重点水利工程资产，开展供水、灌溉、发电、旅游等多元化经营，以收费权、受益权、特许经营权等作为质押担保融资，设立水利产业投资基金，运用企业债券、短期融资券等多种工具融资，统筹投资建设水利项目；优先安排水资源税、水土保持补偿费用于水利建设，积极探索“取水贷”“节水贷”“GEP生态价值贷”“水权交易”“产业导入”等绿色金融水利实践，创新水利投融资模式。持续推进水土流失治理项目碳汇交易体系研究和典型项目价值转化，为推动将水土保持项目碳汇纳入温室气体自愿减排交易机制作出水利贡献。</w:t>
      </w:r>
    </w:p>
    <w:p w14:paraId="0D6A033B">
      <w:pPr>
        <w:pStyle w:val="64"/>
      </w:pPr>
      <w:r>
        <w:rPr>
          <w:rFonts w:hint="eastAsia"/>
        </w:rPr>
        <w:t>2. 创新水网建设机制</w:t>
      </w:r>
      <w:bookmarkEnd w:id="171"/>
      <w:bookmarkEnd w:id="172"/>
    </w:p>
    <w:p w14:paraId="31D651B7">
      <w:pPr>
        <w:pStyle w:val="82"/>
        <w:ind w:firstLine="648"/>
      </w:pPr>
      <w:bookmarkStart w:id="173" w:name="_Toc151640489"/>
      <w:bookmarkStart w:id="174" w:name="_Toc150762276"/>
      <w:bookmarkStart w:id="175" w:name="_Toc149582960"/>
      <w:bookmarkStart w:id="176" w:name="_Toc151651370"/>
      <w:r>
        <w:rPr>
          <w:rFonts w:hint="eastAsia"/>
        </w:rPr>
        <w:t>（1）创新工程建设管理模式</w:t>
      </w:r>
      <w:bookmarkEnd w:id="173"/>
      <w:bookmarkEnd w:id="174"/>
      <w:bookmarkEnd w:id="175"/>
      <w:bookmarkEnd w:id="176"/>
    </w:p>
    <w:p w14:paraId="06D04371">
      <w:pPr>
        <w:pStyle w:val="82"/>
        <w:ind w:firstLine="648"/>
      </w:pPr>
      <w:r>
        <w:rPr>
          <w:rFonts w:hint="eastAsia"/>
        </w:rPr>
        <w:t>按照投资多元化、管理社会化、经营市场化的要求，协同水利投融资改革，积极推动水利工程建设和管理体制机制改革创新，破除水利工程建设管理中的机制障碍，积极培育水市场，建立公开透明的市场规则，为市场主体的进入提供良好的条件，提高工程的建设管理效率和投资效益。</w:t>
      </w:r>
    </w:p>
    <w:p w14:paraId="7F3AE3A4">
      <w:pPr>
        <w:pStyle w:val="82"/>
        <w:ind w:firstLine="648"/>
      </w:pPr>
      <w:r>
        <w:rPr>
          <w:rFonts w:hint="eastAsia"/>
        </w:rPr>
        <w:t>深化水利工程建设与管理体制机制改革，创新水利工程建管模式。探索不同类型水利项目的政府和社会资本合作模式，结合实际，因地制宜运用建设-运营-移交（BOT）、建设-拥有-移交（BOO）、转让-运营-移交（TOT）、改建-运营-移交（ROT）等模式吸引社会资本参与工程建设与管理。推广中小型水利工程集中建设管理，因地制宜推行水利工程平行发包、代建制、项目管理总承包（PMC）、设计采购施工总承包（EPC）等模式，培育常设性专业化建设管理机构，促进建设管理专业化、集约化。</w:t>
      </w:r>
    </w:p>
    <w:p w14:paraId="78EA60B7">
      <w:pPr>
        <w:pStyle w:val="82"/>
        <w:ind w:firstLine="648"/>
      </w:pPr>
      <w:r>
        <w:rPr>
          <w:rFonts w:hint="eastAsia"/>
        </w:rPr>
        <w:t>（2）加快水利工程建设项目法人改革</w:t>
      </w:r>
    </w:p>
    <w:p w14:paraId="33BA6611">
      <w:pPr>
        <w:pStyle w:val="82"/>
        <w:ind w:firstLine="648"/>
      </w:pPr>
      <w:r>
        <w:rPr>
          <w:rFonts w:hint="eastAsia"/>
        </w:rPr>
        <w:t>按照《水利部关于印发水利工程建设项目法人管理指导意见的通知》等的要求，以规范项目法人组建、明确项目法人职责、保障项目法人履职能力、加强项目法人监管等为重点，切实加强项目法人管理工作。按照自治区、市两级有关要求，推动成立或利用原有的企事业单位组建专职项目法人，统一负责辖区内的部分类型或全部类型水网工程项目建设，各级水行政主管部门不再承担工程建设职责，实现建设与监管的分离。</w:t>
      </w:r>
    </w:p>
    <w:p w14:paraId="381501DD">
      <w:pPr>
        <w:pStyle w:val="82"/>
        <w:ind w:firstLine="648"/>
      </w:pPr>
      <w:r>
        <w:rPr>
          <w:rFonts w:hint="eastAsia"/>
        </w:rPr>
        <w:t>（3）提升工程建设质量</w:t>
      </w:r>
    </w:p>
    <w:p w14:paraId="02030BBD">
      <w:pPr>
        <w:pStyle w:val="82"/>
        <w:ind w:firstLine="648"/>
      </w:pPr>
      <w:r>
        <w:rPr>
          <w:rFonts w:hint="eastAsia"/>
        </w:rPr>
        <w:t>按照《水利部关于强化水利体制机制法治管理的指导意见》《水利部办公厅关于印发水利工程建设质量提升三年行动（2022—2025年）实施方案的通知》等的要求，落实水利工程建设质量责任、加强水利工程建设质量全生命周期管理、提高水利工程建设质量政府监管效能、强化水利工程建设质量数字赋能、营造质量为先文化氛围、开展水利工程建设质量普遍性问题专项整治、强化水利工程建设监管，全力提升水利工程建设质量。</w:t>
      </w:r>
    </w:p>
    <w:p w14:paraId="05CA42CE">
      <w:pPr>
        <w:pStyle w:val="64"/>
      </w:pPr>
      <w:bookmarkStart w:id="177" w:name="_Toc175063547"/>
      <w:bookmarkStart w:id="178" w:name="_Toc148603091"/>
      <w:r>
        <w:rPr>
          <w:rFonts w:hint="eastAsia"/>
        </w:rPr>
        <w:t>3. 创新水网运行机制</w:t>
      </w:r>
      <w:bookmarkEnd w:id="177"/>
      <w:bookmarkEnd w:id="178"/>
    </w:p>
    <w:p w14:paraId="1F3F9B9E">
      <w:pPr>
        <w:pStyle w:val="82"/>
        <w:ind w:firstLine="648"/>
      </w:pPr>
      <w:bookmarkStart w:id="179" w:name="_Toc151640492"/>
      <w:bookmarkStart w:id="180" w:name="_Toc151651373"/>
      <w:bookmarkStart w:id="181" w:name="_Toc149582963"/>
      <w:bookmarkStart w:id="182" w:name="_Toc150762279"/>
      <w:r>
        <w:rPr>
          <w:rFonts w:hint="eastAsia"/>
        </w:rPr>
        <w:t>（1）完善水资源有偿使用制度</w:t>
      </w:r>
    </w:p>
    <w:p w14:paraId="4DE8848A">
      <w:pPr>
        <w:pStyle w:val="82"/>
        <w:ind w:firstLine="648"/>
      </w:pPr>
      <w:r>
        <w:rPr>
          <w:rFonts w:hint="eastAsia"/>
        </w:rPr>
        <w:t>深化水资源税和水价改革，利用税收杠杆促进水资源优化配置、利用、节约与保护。推进水资源税改革，妥善处理好水资源费改税过程中水资源管理保护工作经费问题。推行农业用水总量控制和定额管理，建立健全农业水价形成机制和精准补贴机制，配额内用水执行基本水价，超配额用水加价收费，完善奖惩机制。</w:t>
      </w:r>
    </w:p>
    <w:p w14:paraId="6F203ACA">
      <w:pPr>
        <w:pStyle w:val="82"/>
        <w:ind w:firstLine="648"/>
      </w:pPr>
      <w:r>
        <w:rPr>
          <w:rFonts w:hint="eastAsia"/>
        </w:rPr>
        <w:t>（</w:t>
      </w:r>
      <w:r>
        <w:t>2</w:t>
      </w:r>
      <w:r>
        <w:rPr>
          <w:rFonts w:hint="eastAsia"/>
        </w:rPr>
        <w:t>）探索水网工程专业化管理</w:t>
      </w:r>
      <w:bookmarkEnd w:id="179"/>
      <w:bookmarkEnd w:id="180"/>
      <w:bookmarkEnd w:id="181"/>
      <w:bookmarkEnd w:id="182"/>
    </w:p>
    <w:p w14:paraId="25AB61CC">
      <w:pPr>
        <w:pStyle w:val="82"/>
        <w:ind w:firstLine="648"/>
      </w:pPr>
      <w:r>
        <w:rPr>
          <w:rFonts w:hint="eastAsia"/>
        </w:rPr>
        <w:t>有序推进水网工程专业化、企业化管理，积极推进水网工程管养分离。对大中型水利工程，成立专门的工程建管中心，实施统一管理，并通过招投标方式引进专业的机构开展工程维修养护工作，推动工程维修养护市场化。对于小型农田水利工程和农村供水保障工程等小型水利工程，推广物业化管理，因地制宜选择安全托管模式、委托</w:t>
      </w:r>
      <w:r>
        <w:t>+</w:t>
      </w:r>
      <w:r>
        <w:rPr>
          <w:rFonts w:hint="eastAsia"/>
        </w:rPr>
        <w:t>监管并行模式、业务分类委托等模式，通过政府购买服务的方式，交由第三方企业开展专业化管理。</w:t>
      </w:r>
    </w:p>
    <w:p w14:paraId="3C4E6589">
      <w:pPr>
        <w:pStyle w:val="82"/>
        <w:ind w:firstLine="648"/>
      </w:pPr>
      <w:bookmarkStart w:id="183" w:name="_Toc150762280"/>
      <w:bookmarkStart w:id="184" w:name="_Toc151640493"/>
      <w:bookmarkStart w:id="185" w:name="_Toc151651374"/>
      <w:bookmarkStart w:id="186" w:name="_Toc149582964"/>
      <w:r>
        <w:rPr>
          <w:rFonts w:hint="eastAsia"/>
        </w:rPr>
        <w:t>（2）探索水网工程标准化管理</w:t>
      </w:r>
      <w:bookmarkEnd w:id="183"/>
      <w:bookmarkEnd w:id="184"/>
      <w:bookmarkEnd w:id="185"/>
      <w:bookmarkEnd w:id="186"/>
    </w:p>
    <w:p w14:paraId="65B3AC3F">
      <w:pPr>
        <w:pStyle w:val="82"/>
        <w:ind w:firstLine="648"/>
      </w:pPr>
      <w:r>
        <w:rPr>
          <w:rFonts w:hint="eastAsia"/>
        </w:rPr>
        <w:t>按照《水利部关于印发</w:t>
      </w:r>
      <w:r>
        <w:t>&lt;</w:t>
      </w:r>
      <w:r>
        <w:rPr>
          <w:rFonts w:hint="eastAsia"/>
        </w:rPr>
        <w:t>关于推进水利工程标准化管理的指导意见</w:t>
      </w:r>
      <w:r>
        <w:t>&gt;&lt;</w:t>
      </w:r>
      <w:r>
        <w:rPr>
          <w:rFonts w:hint="eastAsia"/>
        </w:rPr>
        <w:t>水利工程标准化管理评价办法</w:t>
      </w:r>
      <w:r>
        <w:t>&gt;</w:t>
      </w:r>
      <w:r>
        <w:rPr>
          <w:rFonts w:hint="eastAsia"/>
        </w:rPr>
        <w:t>及其评价标准的通知》等的要求以及自治区水网工程标准化管理有关制度，分类推进水利工程标准化管理与评价工作。到</w:t>
      </w:r>
      <w:r>
        <w:t>2035</w:t>
      </w:r>
      <w:r>
        <w:rPr>
          <w:rFonts w:hint="eastAsia"/>
        </w:rPr>
        <w:t>年前，水库、灌区和</w:t>
      </w:r>
      <w:r>
        <w:t>3</w:t>
      </w:r>
      <w:r>
        <w:rPr>
          <w:rFonts w:hint="eastAsia"/>
        </w:rPr>
        <w:t>级以上堤防工程全面实现标准化管理，小型水利工程基本实现标准化管理。</w:t>
      </w:r>
    </w:p>
    <w:p w14:paraId="1D2FBF07">
      <w:pPr>
        <w:pStyle w:val="82"/>
        <w:ind w:firstLine="648"/>
      </w:pPr>
      <w:bookmarkStart w:id="187" w:name="_Hlk204694007"/>
      <w:r>
        <w:rPr>
          <w:rFonts w:hint="eastAsia"/>
        </w:rPr>
        <w:t>严格落实工程管护主体和责任、管护经费和人员，定期组织水库运行管理业务培训，提升管护水平，增肌财政投入，建立稳定的经费保障机制、管理机制和运行机制。按照《水利部关于加快构建现代化水库运行管理矩阵的指导意见》，在全面推进水库工程标准化管理的基础上，强化数字赋能，加快构建以推进全覆盖、全要素、全天候、全周期“四全”管理，完善体制、机制、法治、责任制“四制（治）”体系，强化预报、预警、预演、预案“四预”措施，加强除险、体检、维护、安全“四管”工作为核心内容的</w:t>
      </w:r>
      <w:r>
        <w:rPr>
          <w:rFonts w:hint="eastAsia"/>
          <w:b/>
        </w:rPr>
        <w:t>现代化水库运行管理矩阵</w:t>
      </w:r>
      <w:r>
        <w:rPr>
          <w:rFonts w:hint="eastAsia"/>
        </w:rPr>
        <w:t>，</w:t>
      </w:r>
      <w:bookmarkEnd w:id="187"/>
      <w:r>
        <w:rPr>
          <w:rFonts w:hint="eastAsia"/>
        </w:rPr>
        <w:t>全面提升水库运行管理精准化、信息化、现代化水平。</w:t>
      </w:r>
    </w:p>
    <w:p w14:paraId="2505B54C">
      <w:pPr>
        <w:pStyle w:val="82"/>
        <w:ind w:firstLine="0" w:firstLineChars="0"/>
        <w:rPr>
          <w:rFonts w:eastAsia="仿宋"/>
          <w:kern w:val="2"/>
          <w:sz w:val="24"/>
          <w:szCs w:val="22"/>
        </w:rPr>
      </w:pPr>
      <w:r>
        <w:br w:type="page"/>
      </w:r>
    </w:p>
    <w:bookmarkEnd w:id="83"/>
    <w:bookmarkEnd w:id="84"/>
    <w:bookmarkEnd w:id="85"/>
    <w:bookmarkEnd w:id="86"/>
    <w:bookmarkEnd w:id="87"/>
    <w:bookmarkEnd w:id="88"/>
    <w:bookmarkEnd w:id="89"/>
    <w:p w14:paraId="5188D647">
      <w:pPr>
        <w:pStyle w:val="208"/>
        <w:rPr>
          <w:rFonts w:hint="eastAsia"/>
        </w:rPr>
      </w:pPr>
      <w:bookmarkStart w:id="188" w:name="_Toc216964782"/>
      <w:r>
        <w:rPr>
          <w:rFonts w:hint="eastAsia"/>
        </w:rPr>
        <w:t>九、投资匡算与实施安排</w:t>
      </w:r>
      <w:bookmarkEnd w:id="188"/>
    </w:p>
    <w:p w14:paraId="4B2F8CA0">
      <w:pPr>
        <w:pStyle w:val="34"/>
      </w:pPr>
      <w:bookmarkStart w:id="189" w:name="_Toc216964783"/>
      <w:r>
        <w:rPr>
          <w:rFonts w:hint="eastAsia"/>
        </w:rPr>
        <w:t>（一）投资匡算</w:t>
      </w:r>
      <w:bookmarkEnd w:id="189"/>
    </w:p>
    <w:p w14:paraId="5C2418B0">
      <w:pPr>
        <w:pStyle w:val="82"/>
        <w:ind w:firstLine="648"/>
        <w:rPr>
          <w:rFonts w:eastAsia="黑体" w:cstheme="minorBidi"/>
          <w:snapToGrid w:val="0"/>
          <w:kern w:val="2"/>
          <w:sz w:val="24"/>
        </w:rPr>
      </w:pPr>
      <w:r>
        <w:rPr>
          <w:rFonts w:hint="eastAsia"/>
        </w:rPr>
        <w:t>围绕额尔古纳市水网建设规划确定的目标和任务，根据已批准和正在编制的相关规划、重点工程前期工作以及上报投资需求，考虑当前需要和今后国家、自治区、呼伦贝尔市和地方可能的投入水平，突出重点、统筹兼顾、综合平衡，初步匡算额尔古纳市水网建设规划总投资约</w:t>
      </w:r>
      <w:r>
        <w:t>301.43</w:t>
      </w:r>
      <w:r>
        <w:rPr>
          <w:rFonts w:hint="eastAsia"/>
        </w:rPr>
        <w:t>亿元，其中“十五五”期间投资约</w:t>
      </w:r>
      <w:r>
        <w:t>38.12</w:t>
      </w:r>
      <w:r>
        <w:rPr>
          <w:rFonts w:hint="eastAsia"/>
        </w:rPr>
        <w:t>亿元，占总投资的</w:t>
      </w:r>
      <w:r>
        <w:t>12.6%</w:t>
      </w:r>
      <w:r>
        <w:rPr>
          <w:rFonts w:hint="eastAsia"/>
        </w:rPr>
        <w:t>；</w:t>
      </w:r>
      <w:r>
        <w:t>2031-2035</w:t>
      </w:r>
      <w:r>
        <w:rPr>
          <w:rFonts w:hint="eastAsia"/>
        </w:rPr>
        <w:t>年投资约</w:t>
      </w:r>
      <w:r>
        <w:t>75.04</w:t>
      </w:r>
      <w:r>
        <w:rPr>
          <w:rFonts w:hint="eastAsia"/>
        </w:rPr>
        <w:t>亿元，占总投资的</w:t>
      </w:r>
      <w:r>
        <w:t>24.9%</w:t>
      </w:r>
      <w:r>
        <w:rPr>
          <w:rFonts w:hint="eastAsia"/>
        </w:rPr>
        <w:t>；</w:t>
      </w:r>
      <w:r>
        <w:t>2035-2050</w:t>
      </w:r>
      <w:r>
        <w:rPr>
          <w:rFonts w:hint="eastAsia"/>
        </w:rPr>
        <w:t>年投资约</w:t>
      </w:r>
      <w:r>
        <w:t>188.47</w:t>
      </w:r>
      <w:r>
        <w:rPr>
          <w:rFonts w:hint="eastAsia"/>
        </w:rPr>
        <w:t>亿元，占总投资的</w:t>
      </w:r>
      <w:r>
        <w:t>62.5%</w:t>
      </w:r>
      <w:r>
        <w:rPr>
          <w:rFonts w:hint="eastAsia"/>
        </w:rPr>
        <w:t>。从项目类型来看，城乡供水网投资最高，约</w:t>
      </w:r>
      <w:r>
        <w:t>175.35</w:t>
      </w:r>
      <w:r>
        <w:rPr>
          <w:rFonts w:hint="eastAsia"/>
        </w:rPr>
        <w:t>亿元，占总投资的</w:t>
      </w:r>
      <w:r>
        <w:t>58.2%</w:t>
      </w:r>
      <w:r>
        <w:rPr>
          <w:rFonts w:hint="eastAsia"/>
        </w:rPr>
        <w:t>；灌溉排水网投资次之，约</w:t>
      </w:r>
      <w:r>
        <w:t>96.72</w:t>
      </w:r>
      <w:r>
        <w:rPr>
          <w:rFonts w:hint="eastAsia"/>
        </w:rPr>
        <w:t>亿元，占总投资的</w:t>
      </w:r>
      <w:r>
        <w:t>32.1%</w:t>
      </w:r>
      <w:r>
        <w:rPr>
          <w:rFonts w:hint="eastAsia"/>
        </w:rPr>
        <w:t>；河湖水生态保护网投资约</w:t>
      </w:r>
      <w:r>
        <w:t>12.17</w:t>
      </w:r>
      <w:r>
        <w:rPr>
          <w:rFonts w:hint="eastAsia"/>
        </w:rPr>
        <w:t>亿元，占总投资的</w:t>
      </w:r>
      <w:r>
        <w:t>4.0%</w:t>
      </w:r>
      <w:r>
        <w:rPr>
          <w:rFonts w:hint="eastAsia"/>
        </w:rPr>
        <w:t>；数字孪生水网投资约</w:t>
      </w:r>
      <w:r>
        <w:t>9.70</w:t>
      </w:r>
      <w:r>
        <w:rPr>
          <w:rFonts w:hint="eastAsia"/>
        </w:rPr>
        <w:t>亿元，占总投资的</w:t>
      </w:r>
      <w:r>
        <w:t>3.2%</w:t>
      </w:r>
      <w:r>
        <w:rPr>
          <w:rFonts w:hint="eastAsia"/>
        </w:rPr>
        <w:t>；防洪排涝网投资约</w:t>
      </w:r>
      <w:r>
        <w:t>7.5</w:t>
      </w:r>
      <w:r>
        <w:rPr>
          <w:rFonts w:hint="eastAsia"/>
        </w:rPr>
        <w:t>亿元，均占总投资的</w:t>
      </w:r>
      <w:r>
        <w:t>2.5%</w:t>
      </w:r>
      <w:r>
        <w:rPr>
          <w:rFonts w:hint="eastAsia"/>
        </w:rPr>
        <w:t>。</w:t>
      </w:r>
    </w:p>
    <w:p w14:paraId="39D67BBE">
      <w:pPr>
        <w:pStyle w:val="121"/>
      </w:pPr>
      <w:r>
        <w:rPr>
          <w:rFonts w:hint="eastAsia"/>
        </w:rPr>
        <w:t>表</w:t>
      </w:r>
      <w:r>
        <w:t xml:space="preserve">9.2-1   </w:t>
      </w:r>
      <w:r>
        <w:rPr>
          <w:rFonts w:hint="eastAsia"/>
        </w:rPr>
        <w:t>额尔古纳水网建设规划总投资</w:t>
      </w:r>
      <w:r>
        <w:t xml:space="preserve">      </w:t>
      </w:r>
      <w:r>
        <w:rPr>
          <w:rFonts w:hint="eastAsia"/>
        </w:rPr>
        <w:t>单位：亿元</w:t>
      </w:r>
    </w:p>
    <w:tbl>
      <w:tblPr>
        <w:tblStyle w:val="23"/>
        <w:tblW w:w="5000" w:type="pct"/>
        <w:tblInd w:w="0" w:type="dxa"/>
        <w:tblLayout w:type="autofit"/>
        <w:tblCellMar>
          <w:top w:w="0" w:type="dxa"/>
          <w:left w:w="108" w:type="dxa"/>
          <w:bottom w:w="0" w:type="dxa"/>
          <w:right w:w="108" w:type="dxa"/>
        </w:tblCellMar>
      </w:tblPr>
      <w:tblGrid>
        <w:gridCol w:w="2136"/>
        <w:gridCol w:w="1291"/>
        <w:gridCol w:w="1953"/>
        <w:gridCol w:w="1953"/>
        <w:gridCol w:w="1953"/>
      </w:tblGrid>
      <w:tr w14:paraId="4A483EF4">
        <w:tblPrEx>
          <w:tblCellMar>
            <w:top w:w="0" w:type="dxa"/>
            <w:left w:w="108" w:type="dxa"/>
            <w:bottom w:w="0" w:type="dxa"/>
            <w:right w:w="108" w:type="dxa"/>
          </w:tblCellMar>
        </w:tblPrEx>
        <w:trPr>
          <w:trHeight w:val="288" w:hRule="atLeast"/>
          <w:tblHeader/>
        </w:trPr>
        <w:tc>
          <w:tcPr>
            <w:tcW w:w="1179" w:type="pct"/>
            <w:vMerge w:val="restart"/>
            <w:tcBorders>
              <w:top w:val="single" w:color="auto" w:sz="4" w:space="0"/>
              <w:left w:val="single" w:color="auto" w:sz="4" w:space="0"/>
              <w:bottom w:val="single" w:color="auto" w:sz="4" w:space="0"/>
              <w:right w:val="single" w:color="auto" w:sz="4" w:space="0"/>
            </w:tcBorders>
            <w:noWrap/>
            <w:vAlign w:val="center"/>
          </w:tcPr>
          <w:p w14:paraId="60763FD3">
            <w:pPr>
              <w:pStyle w:val="119"/>
              <w:rPr>
                <w:b/>
                <w:bCs/>
                <w:sz w:val="24"/>
                <w:szCs w:val="24"/>
              </w:rPr>
            </w:pPr>
            <w:r>
              <w:rPr>
                <w:rFonts w:hint="eastAsia"/>
                <w:b/>
                <w:bCs/>
                <w:sz w:val="24"/>
                <w:szCs w:val="24"/>
              </w:rPr>
              <w:t>分类</w:t>
            </w:r>
          </w:p>
        </w:tc>
        <w:tc>
          <w:tcPr>
            <w:tcW w:w="955" w:type="pct"/>
            <w:vMerge w:val="restart"/>
            <w:tcBorders>
              <w:top w:val="single" w:color="auto" w:sz="4" w:space="0"/>
              <w:left w:val="single" w:color="auto" w:sz="4" w:space="0"/>
              <w:bottom w:val="single" w:color="auto" w:sz="4" w:space="0"/>
              <w:right w:val="single" w:color="auto" w:sz="4" w:space="0"/>
            </w:tcBorders>
            <w:noWrap/>
            <w:vAlign w:val="center"/>
          </w:tcPr>
          <w:p w14:paraId="4A5098D8">
            <w:pPr>
              <w:pStyle w:val="119"/>
              <w:rPr>
                <w:b/>
                <w:bCs/>
                <w:sz w:val="24"/>
                <w:szCs w:val="24"/>
              </w:rPr>
            </w:pPr>
            <w:r>
              <w:rPr>
                <w:rFonts w:hint="eastAsia"/>
                <w:b/>
                <w:bCs/>
                <w:sz w:val="24"/>
                <w:szCs w:val="24"/>
              </w:rPr>
              <w:t>总投资</w:t>
            </w:r>
          </w:p>
        </w:tc>
        <w:tc>
          <w:tcPr>
            <w:tcW w:w="2865" w:type="pct"/>
            <w:gridSpan w:val="3"/>
            <w:tcBorders>
              <w:top w:val="single" w:color="auto" w:sz="4" w:space="0"/>
              <w:left w:val="nil"/>
              <w:bottom w:val="single" w:color="auto" w:sz="4" w:space="0"/>
              <w:right w:val="single" w:color="auto" w:sz="4" w:space="0"/>
            </w:tcBorders>
            <w:noWrap/>
            <w:vAlign w:val="center"/>
          </w:tcPr>
          <w:p w14:paraId="56F9850E">
            <w:pPr>
              <w:pStyle w:val="119"/>
              <w:rPr>
                <w:b/>
                <w:bCs/>
                <w:sz w:val="24"/>
                <w:szCs w:val="24"/>
              </w:rPr>
            </w:pPr>
            <w:r>
              <w:rPr>
                <w:rFonts w:hint="eastAsia"/>
                <w:b/>
                <w:bCs/>
                <w:sz w:val="24"/>
                <w:szCs w:val="24"/>
              </w:rPr>
              <w:t>分期投资</w:t>
            </w:r>
          </w:p>
        </w:tc>
      </w:tr>
      <w:tr w14:paraId="26C3911E">
        <w:trPr>
          <w:trHeight w:val="288" w:hRule="atLeast"/>
          <w:tblHeader/>
        </w:trPr>
        <w:tc>
          <w:tcPr>
            <w:tcW w:w="1179" w:type="pct"/>
            <w:vMerge w:val="continue"/>
            <w:tcBorders>
              <w:top w:val="single" w:color="auto" w:sz="4" w:space="0"/>
              <w:left w:val="single" w:color="auto" w:sz="4" w:space="0"/>
              <w:bottom w:val="single" w:color="auto" w:sz="4" w:space="0"/>
              <w:right w:val="single" w:color="auto" w:sz="4" w:space="0"/>
            </w:tcBorders>
            <w:vAlign w:val="center"/>
          </w:tcPr>
          <w:p w14:paraId="0319BF52">
            <w:pPr>
              <w:pStyle w:val="119"/>
              <w:rPr>
                <w:b/>
                <w:bCs/>
                <w:sz w:val="24"/>
                <w:szCs w:val="24"/>
              </w:rPr>
            </w:pPr>
          </w:p>
        </w:tc>
        <w:tc>
          <w:tcPr>
            <w:tcW w:w="955" w:type="pct"/>
            <w:vMerge w:val="continue"/>
            <w:tcBorders>
              <w:top w:val="single" w:color="auto" w:sz="4" w:space="0"/>
              <w:left w:val="single" w:color="auto" w:sz="4" w:space="0"/>
              <w:bottom w:val="single" w:color="auto" w:sz="4" w:space="0"/>
              <w:right w:val="single" w:color="auto" w:sz="4" w:space="0"/>
            </w:tcBorders>
            <w:vAlign w:val="center"/>
          </w:tcPr>
          <w:p w14:paraId="4FB33813">
            <w:pPr>
              <w:pStyle w:val="119"/>
              <w:rPr>
                <w:b/>
                <w:bCs/>
                <w:sz w:val="24"/>
                <w:szCs w:val="24"/>
              </w:rPr>
            </w:pPr>
          </w:p>
        </w:tc>
        <w:tc>
          <w:tcPr>
            <w:tcW w:w="955" w:type="pct"/>
            <w:tcBorders>
              <w:top w:val="nil"/>
              <w:left w:val="nil"/>
              <w:bottom w:val="single" w:color="auto" w:sz="4" w:space="0"/>
              <w:right w:val="single" w:color="auto" w:sz="4" w:space="0"/>
            </w:tcBorders>
            <w:noWrap/>
            <w:vAlign w:val="center"/>
          </w:tcPr>
          <w:p w14:paraId="672A45C7">
            <w:pPr>
              <w:pStyle w:val="119"/>
              <w:rPr>
                <w:b/>
                <w:bCs/>
                <w:sz w:val="24"/>
                <w:szCs w:val="24"/>
              </w:rPr>
            </w:pPr>
            <w:r>
              <w:rPr>
                <w:b/>
                <w:bCs/>
                <w:sz w:val="24"/>
                <w:szCs w:val="24"/>
              </w:rPr>
              <w:t>2023-2030</w:t>
            </w:r>
            <w:r>
              <w:rPr>
                <w:rFonts w:hint="eastAsia"/>
                <w:b/>
                <w:bCs/>
                <w:sz w:val="24"/>
                <w:szCs w:val="24"/>
              </w:rPr>
              <w:t>年</w:t>
            </w:r>
          </w:p>
        </w:tc>
        <w:tc>
          <w:tcPr>
            <w:tcW w:w="955" w:type="pct"/>
            <w:tcBorders>
              <w:top w:val="nil"/>
              <w:left w:val="nil"/>
              <w:bottom w:val="single" w:color="auto" w:sz="4" w:space="0"/>
              <w:right w:val="single" w:color="auto" w:sz="4" w:space="0"/>
            </w:tcBorders>
            <w:noWrap/>
            <w:vAlign w:val="center"/>
          </w:tcPr>
          <w:p w14:paraId="7293BB8F">
            <w:pPr>
              <w:pStyle w:val="119"/>
              <w:rPr>
                <w:b/>
                <w:bCs/>
                <w:sz w:val="24"/>
                <w:szCs w:val="24"/>
              </w:rPr>
            </w:pPr>
            <w:r>
              <w:rPr>
                <w:b/>
                <w:bCs/>
                <w:sz w:val="24"/>
                <w:szCs w:val="24"/>
              </w:rPr>
              <w:t>2031-2035</w:t>
            </w:r>
            <w:r>
              <w:rPr>
                <w:rFonts w:hint="eastAsia"/>
                <w:b/>
                <w:bCs/>
                <w:sz w:val="24"/>
                <w:szCs w:val="24"/>
              </w:rPr>
              <w:t>年</w:t>
            </w:r>
          </w:p>
        </w:tc>
        <w:tc>
          <w:tcPr>
            <w:tcW w:w="956" w:type="pct"/>
            <w:tcBorders>
              <w:top w:val="nil"/>
              <w:left w:val="nil"/>
              <w:bottom w:val="single" w:color="auto" w:sz="4" w:space="0"/>
              <w:right w:val="single" w:color="auto" w:sz="4" w:space="0"/>
            </w:tcBorders>
            <w:noWrap/>
            <w:vAlign w:val="center"/>
          </w:tcPr>
          <w:p w14:paraId="3E9CDD23">
            <w:pPr>
              <w:pStyle w:val="119"/>
              <w:rPr>
                <w:b/>
                <w:bCs/>
                <w:sz w:val="24"/>
                <w:szCs w:val="24"/>
              </w:rPr>
            </w:pPr>
            <w:r>
              <w:rPr>
                <w:b/>
                <w:bCs/>
                <w:sz w:val="24"/>
                <w:szCs w:val="24"/>
              </w:rPr>
              <w:t>2035-2050</w:t>
            </w:r>
            <w:r>
              <w:rPr>
                <w:rFonts w:hint="eastAsia"/>
                <w:b/>
                <w:bCs/>
                <w:sz w:val="24"/>
                <w:szCs w:val="24"/>
              </w:rPr>
              <w:t>年</w:t>
            </w:r>
          </w:p>
        </w:tc>
      </w:tr>
      <w:tr w14:paraId="6F7B3EFF">
        <w:tblPrEx>
          <w:tblCellMar>
            <w:top w:w="0" w:type="dxa"/>
            <w:left w:w="108" w:type="dxa"/>
            <w:bottom w:w="0" w:type="dxa"/>
            <w:right w:w="108" w:type="dxa"/>
          </w:tblCellMar>
        </w:tblPrEx>
        <w:trPr>
          <w:trHeight w:val="288" w:hRule="atLeast"/>
        </w:trPr>
        <w:tc>
          <w:tcPr>
            <w:tcW w:w="1179" w:type="pct"/>
            <w:tcBorders>
              <w:top w:val="nil"/>
              <w:left w:val="single" w:color="auto" w:sz="4" w:space="0"/>
              <w:bottom w:val="single" w:color="auto" w:sz="4" w:space="0"/>
              <w:right w:val="single" w:color="auto" w:sz="4" w:space="0"/>
            </w:tcBorders>
            <w:noWrap/>
            <w:vAlign w:val="center"/>
          </w:tcPr>
          <w:p w14:paraId="7BA69EDD">
            <w:pPr>
              <w:pStyle w:val="119"/>
              <w:rPr>
                <w:b/>
                <w:bCs/>
                <w:sz w:val="24"/>
                <w:szCs w:val="24"/>
              </w:rPr>
            </w:pPr>
            <w:r>
              <w:rPr>
                <w:rFonts w:hint="eastAsia"/>
                <w:b/>
                <w:bCs/>
                <w:sz w:val="24"/>
                <w:szCs w:val="24"/>
              </w:rPr>
              <w:t>合计</w:t>
            </w:r>
          </w:p>
        </w:tc>
        <w:tc>
          <w:tcPr>
            <w:tcW w:w="955" w:type="pct"/>
            <w:tcBorders>
              <w:top w:val="nil"/>
              <w:left w:val="nil"/>
              <w:bottom w:val="single" w:color="auto" w:sz="4" w:space="0"/>
              <w:right w:val="single" w:color="auto" w:sz="4" w:space="0"/>
            </w:tcBorders>
            <w:noWrap/>
            <w:vAlign w:val="center"/>
          </w:tcPr>
          <w:p w14:paraId="1D1B8BEE">
            <w:pPr>
              <w:pStyle w:val="119"/>
              <w:rPr>
                <w:b/>
                <w:bCs/>
                <w:sz w:val="22"/>
                <w:szCs w:val="21"/>
              </w:rPr>
            </w:pPr>
            <w:r>
              <w:rPr>
                <w:rFonts w:eastAsia="仿宋_GB2312"/>
                <w:b/>
                <w:bCs/>
                <w:color w:val="000000"/>
                <w:sz w:val="22"/>
                <w:szCs w:val="22"/>
              </w:rPr>
              <w:t>301.43</w:t>
            </w:r>
          </w:p>
        </w:tc>
        <w:tc>
          <w:tcPr>
            <w:tcW w:w="955" w:type="pct"/>
            <w:tcBorders>
              <w:top w:val="nil"/>
              <w:left w:val="nil"/>
              <w:bottom w:val="single" w:color="auto" w:sz="4" w:space="0"/>
              <w:right w:val="single" w:color="auto" w:sz="4" w:space="0"/>
            </w:tcBorders>
            <w:noWrap/>
            <w:vAlign w:val="center"/>
          </w:tcPr>
          <w:p w14:paraId="63CA0AF9">
            <w:pPr>
              <w:pStyle w:val="119"/>
              <w:rPr>
                <w:b/>
                <w:bCs/>
                <w:sz w:val="22"/>
                <w:szCs w:val="21"/>
              </w:rPr>
            </w:pPr>
            <w:r>
              <w:rPr>
                <w:rFonts w:eastAsia="仿宋_GB2312"/>
                <w:b/>
                <w:bCs/>
                <w:color w:val="000000"/>
                <w:sz w:val="22"/>
                <w:szCs w:val="22"/>
              </w:rPr>
              <w:t>38.12</w:t>
            </w:r>
          </w:p>
        </w:tc>
        <w:tc>
          <w:tcPr>
            <w:tcW w:w="955" w:type="pct"/>
            <w:tcBorders>
              <w:top w:val="nil"/>
              <w:left w:val="nil"/>
              <w:bottom w:val="single" w:color="auto" w:sz="4" w:space="0"/>
              <w:right w:val="single" w:color="auto" w:sz="4" w:space="0"/>
            </w:tcBorders>
            <w:noWrap/>
            <w:vAlign w:val="center"/>
          </w:tcPr>
          <w:p w14:paraId="41394865">
            <w:pPr>
              <w:pStyle w:val="119"/>
              <w:rPr>
                <w:b/>
                <w:bCs/>
                <w:sz w:val="22"/>
                <w:szCs w:val="21"/>
              </w:rPr>
            </w:pPr>
            <w:r>
              <w:rPr>
                <w:rFonts w:eastAsia="仿宋_GB2312"/>
                <w:b/>
                <w:bCs/>
                <w:color w:val="000000"/>
                <w:sz w:val="22"/>
                <w:szCs w:val="22"/>
              </w:rPr>
              <w:t>75.04</w:t>
            </w:r>
          </w:p>
        </w:tc>
        <w:tc>
          <w:tcPr>
            <w:tcW w:w="956" w:type="pct"/>
            <w:tcBorders>
              <w:top w:val="nil"/>
              <w:left w:val="nil"/>
              <w:bottom w:val="single" w:color="auto" w:sz="4" w:space="0"/>
              <w:right w:val="single" w:color="auto" w:sz="4" w:space="0"/>
            </w:tcBorders>
            <w:noWrap/>
            <w:vAlign w:val="center"/>
          </w:tcPr>
          <w:p w14:paraId="5BD383B7">
            <w:pPr>
              <w:pStyle w:val="119"/>
              <w:rPr>
                <w:b/>
                <w:bCs/>
                <w:sz w:val="22"/>
                <w:szCs w:val="21"/>
              </w:rPr>
            </w:pPr>
            <w:r>
              <w:rPr>
                <w:rFonts w:eastAsia="仿宋_GB2312"/>
                <w:b/>
                <w:bCs/>
                <w:color w:val="000000"/>
                <w:sz w:val="22"/>
                <w:szCs w:val="22"/>
              </w:rPr>
              <w:t>188.47</w:t>
            </w:r>
          </w:p>
        </w:tc>
      </w:tr>
      <w:tr w14:paraId="02D67DA9">
        <w:trPr>
          <w:trHeight w:val="288" w:hRule="atLeast"/>
        </w:trPr>
        <w:tc>
          <w:tcPr>
            <w:tcW w:w="1179" w:type="pct"/>
            <w:tcBorders>
              <w:top w:val="nil"/>
              <w:left w:val="single" w:color="auto" w:sz="4" w:space="0"/>
              <w:bottom w:val="single" w:color="auto" w:sz="4" w:space="0"/>
              <w:right w:val="single" w:color="auto" w:sz="4" w:space="0"/>
            </w:tcBorders>
            <w:noWrap/>
            <w:vAlign w:val="center"/>
          </w:tcPr>
          <w:p w14:paraId="1E367640">
            <w:pPr>
              <w:pStyle w:val="119"/>
              <w:rPr>
                <w:sz w:val="24"/>
                <w:szCs w:val="24"/>
              </w:rPr>
            </w:pPr>
            <w:r>
              <w:rPr>
                <w:rFonts w:hint="eastAsia"/>
                <w:sz w:val="24"/>
                <w:szCs w:val="24"/>
              </w:rPr>
              <w:t>防洪排涝网</w:t>
            </w:r>
          </w:p>
        </w:tc>
        <w:tc>
          <w:tcPr>
            <w:tcW w:w="955" w:type="pct"/>
            <w:tcBorders>
              <w:top w:val="nil"/>
              <w:left w:val="nil"/>
              <w:bottom w:val="single" w:color="auto" w:sz="4" w:space="0"/>
              <w:right w:val="single" w:color="auto" w:sz="4" w:space="0"/>
            </w:tcBorders>
            <w:noWrap/>
          </w:tcPr>
          <w:p w14:paraId="3E0A95C1">
            <w:pPr>
              <w:pStyle w:val="119"/>
              <w:rPr>
                <w:sz w:val="22"/>
                <w:szCs w:val="21"/>
              </w:rPr>
            </w:pPr>
            <w:r>
              <w:rPr>
                <w:sz w:val="22"/>
                <w:szCs w:val="21"/>
              </w:rPr>
              <w:t>7.49</w:t>
            </w:r>
          </w:p>
        </w:tc>
        <w:tc>
          <w:tcPr>
            <w:tcW w:w="955" w:type="pct"/>
            <w:tcBorders>
              <w:top w:val="nil"/>
              <w:left w:val="nil"/>
              <w:bottom w:val="single" w:color="auto" w:sz="4" w:space="0"/>
              <w:right w:val="single" w:color="auto" w:sz="4" w:space="0"/>
            </w:tcBorders>
            <w:noWrap/>
          </w:tcPr>
          <w:p w14:paraId="6CB17A7D">
            <w:pPr>
              <w:pStyle w:val="119"/>
              <w:rPr>
                <w:sz w:val="22"/>
                <w:szCs w:val="21"/>
              </w:rPr>
            </w:pPr>
            <w:r>
              <w:rPr>
                <w:sz w:val="22"/>
                <w:szCs w:val="21"/>
              </w:rPr>
              <w:t>4.15</w:t>
            </w:r>
          </w:p>
        </w:tc>
        <w:tc>
          <w:tcPr>
            <w:tcW w:w="955" w:type="pct"/>
            <w:tcBorders>
              <w:top w:val="nil"/>
              <w:left w:val="nil"/>
              <w:bottom w:val="single" w:color="auto" w:sz="4" w:space="0"/>
              <w:right w:val="single" w:color="auto" w:sz="4" w:space="0"/>
            </w:tcBorders>
            <w:noWrap/>
          </w:tcPr>
          <w:p w14:paraId="14F3DEB2">
            <w:pPr>
              <w:pStyle w:val="119"/>
              <w:rPr>
                <w:sz w:val="22"/>
                <w:szCs w:val="21"/>
              </w:rPr>
            </w:pPr>
            <w:r>
              <w:rPr>
                <w:sz w:val="22"/>
                <w:szCs w:val="21"/>
              </w:rPr>
              <w:t>2.48</w:t>
            </w:r>
          </w:p>
        </w:tc>
        <w:tc>
          <w:tcPr>
            <w:tcW w:w="956" w:type="pct"/>
            <w:tcBorders>
              <w:top w:val="nil"/>
              <w:left w:val="nil"/>
              <w:bottom w:val="single" w:color="auto" w:sz="4" w:space="0"/>
              <w:right w:val="single" w:color="auto" w:sz="4" w:space="0"/>
            </w:tcBorders>
            <w:noWrap/>
          </w:tcPr>
          <w:p w14:paraId="6C51B0FF">
            <w:pPr>
              <w:pStyle w:val="119"/>
              <w:rPr>
                <w:sz w:val="22"/>
                <w:szCs w:val="21"/>
              </w:rPr>
            </w:pPr>
            <w:r>
              <w:rPr>
                <w:sz w:val="22"/>
                <w:szCs w:val="21"/>
              </w:rPr>
              <w:t>0.87</w:t>
            </w:r>
          </w:p>
        </w:tc>
      </w:tr>
      <w:tr w14:paraId="265F9CBB">
        <w:tblPrEx>
          <w:tblCellMar>
            <w:top w:w="0" w:type="dxa"/>
            <w:left w:w="108" w:type="dxa"/>
            <w:bottom w:w="0" w:type="dxa"/>
            <w:right w:w="108" w:type="dxa"/>
          </w:tblCellMar>
        </w:tblPrEx>
        <w:trPr>
          <w:trHeight w:val="372" w:hRule="atLeast"/>
        </w:trPr>
        <w:tc>
          <w:tcPr>
            <w:tcW w:w="1179" w:type="pct"/>
            <w:tcBorders>
              <w:top w:val="nil"/>
              <w:left w:val="single" w:color="auto" w:sz="4" w:space="0"/>
              <w:bottom w:val="single" w:color="auto" w:sz="4" w:space="0"/>
              <w:right w:val="single" w:color="auto" w:sz="4" w:space="0"/>
            </w:tcBorders>
            <w:noWrap/>
            <w:vAlign w:val="center"/>
          </w:tcPr>
          <w:p w14:paraId="3A2593DD">
            <w:pPr>
              <w:pStyle w:val="119"/>
              <w:rPr>
                <w:sz w:val="24"/>
                <w:szCs w:val="24"/>
              </w:rPr>
            </w:pPr>
            <w:r>
              <w:rPr>
                <w:rFonts w:hint="eastAsia"/>
                <w:sz w:val="24"/>
                <w:szCs w:val="24"/>
              </w:rPr>
              <w:t>城乡供水网</w:t>
            </w:r>
          </w:p>
        </w:tc>
        <w:tc>
          <w:tcPr>
            <w:tcW w:w="955" w:type="pct"/>
            <w:tcBorders>
              <w:top w:val="nil"/>
              <w:left w:val="nil"/>
              <w:bottom w:val="single" w:color="auto" w:sz="4" w:space="0"/>
              <w:right w:val="single" w:color="auto" w:sz="4" w:space="0"/>
            </w:tcBorders>
            <w:noWrap/>
            <w:vAlign w:val="center"/>
          </w:tcPr>
          <w:p w14:paraId="619A4603">
            <w:pPr>
              <w:pStyle w:val="119"/>
              <w:rPr>
                <w:sz w:val="22"/>
                <w:szCs w:val="21"/>
              </w:rPr>
            </w:pPr>
            <w:r>
              <w:rPr>
                <w:sz w:val="22"/>
                <w:szCs w:val="21"/>
              </w:rPr>
              <w:t>175.35</w:t>
            </w:r>
          </w:p>
        </w:tc>
        <w:tc>
          <w:tcPr>
            <w:tcW w:w="955" w:type="pct"/>
            <w:tcBorders>
              <w:top w:val="nil"/>
              <w:left w:val="nil"/>
              <w:bottom w:val="single" w:color="auto" w:sz="4" w:space="0"/>
              <w:right w:val="single" w:color="auto" w:sz="4" w:space="0"/>
            </w:tcBorders>
            <w:noWrap/>
            <w:vAlign w:val="center"/>
          </w:tcPr>
          <w:p w14:paraId="7498947B">
            <w:pPr>
              <w:pStyle w:val="119"/>
              <w:rPr>
                <w:sz w:val="22"/>
                <w:szCs w:val="21"/>
              </w:rPr>
            </w:pPr>
            <w:r>
              <w:rPr>
                <w:sz w:val="22"/>
                <w:szCs w:val="21"/>
              </w:rPr>
              <w:t>1.03</w:t>
            </w:r>
          </w:p>
        </w:tc>
        <w:tc>
          <w:tcPr>
            <w:tcW w:w="955" w:type="pct"/>
            <w:tcBorders>
              <w:top w:val="nil"/>
              <w:left w:val="nil"/>
              <w:bottom w:val="single" w:color="auto" w:sz="4" w:space="0"/>
              <w:right w:val="single" w:color="auto" w:sz="4" w:space="0"/>
            </w:tcBorders>
            <w:noWrap/>
            <w:vAlign w:val="center"/>
          </w:tcPr>
          <w:p w14:paraId="72D0BFAC">
            <w:pPr>
              <w:pStyle w:val="119"/>
              <w:rPr>
                <w:sz w:val="22"/>
                <w:szCs w:val="21"/>
              </w:rPr>
            </w:pPr>
            <w:r>
              <w:rPr>
                <w:sz w:val="22"/>
                <w:szCs w:val="21"/>
              </w:rPr>
              <w:t>1.13</w:t>
            </w:r>
          </w:p>
        </w:tc>
        <w:tc>
          <w:tcPr>
            <w:tcW w:w="956" w:type="pct"/>
            <w:tcBorders>
              <w:top w:val="nil"/>
              <w:left w:val="nil"/>
              <w:bottom w:val="single" w:color="auto" w:sz="4" w:space="0"/>
              <w:right w:val="single" w:color="auto" w:sz="4" w:space="0"/>
            </w:tcBorders>
            <w:noWrap/>
            <w:vAlign w:val="center"/>
          </w:tcPr>
          <w:p w14:paraId="402E2E3D">
            <w:pPr>
              <w:pStyle w:val="119"/>
              <w:rPr>
                <w:sz w:val="22"/>
                <w:szCs w:val="21"/>
              </w:rPr>
            </w:pPr>
            <w:r>
              <w:rPr>
                <w:sz w:val="22"/>
                <w:szCs w:val="21"/>
              </w:rPr>
              <w:t>173.19</w:t>
            </w:r>
          </w:p>
        </w:tc>
      </w:tr>
      <w:tr w14:paraId="5F8247A4">
        <w:trPr>
          <w:trHeight w:val="360" w:hRule="atLeast"/>
        </w:trPr>
        <w:tc>
          <w:tcPr>
            <w:tcW w:w="1179" w:type="pct"/>
            <w:tcBorders>
              <w:top w:val="nil"/>
              <w:left w:val="single" w:color="auto" w:sz="4" w:space="0"/>
              <w:bottom w:val="single" w:color="auto" w:sz="4" w:space="0"/>
              <w:right w:val="single" w:color="auto" w:sz="4" w:space="0"/>
            </w:tcBorders>
            <w:noWrap/>
            <w:vAlign w:val="center"/>
          </w:tcPr>
          <w:p w14:paraId="7CDD8A3A">
            <w:pPr>
              <w:pStyle w:val="119"/>
              <w:rPr>
                <w:sz w:val="24"/>
                <w:szCs w:val="24"/>
              </w:rPr>
            </w:pPr>
            <w:r>
              <w:rPr>
                <w:rFonts w:hint="eastAsia"/>
                <w:sz w:val="24"/>
                <w:szCs w:val="24"/>
              </w:rPr>
              <w:t>灌溉排水网</w:t>
            </w:r>
          </w:p>
        </w:tc>
        <w:tc>
          <w:tcPr>
            <w:tcW w:w="955" w:type="pct"/>
            <w:tcBorders>
              <w:top w:val="nil"/>
              <w:left w:val="nil"/>
              <w:bottom w:val="single" w:color="auto" w:sz="4" w:space="0"/>
              <w:right w:val="single" w:color="auto" w:sz="4" w:space="0"/>
            </w:tcBorders>
            <w:noWrap/>
          </w:tcPr>
          <w:p w14:paraId="47B85DAD">
            <w:pPr>
              <w:pStyle w:val="119"/>
              <w:rPr>
                <w:sz w:val="22"/>
                <w:szCs w:val="21"/>
              </w:rPr>
            </w:pPr>
            <w:r>
              <w:rPr>
                <w:sz w:val="22"/>
                <w:szCs w:val="21"/>
              </w:rPr>
              <w:t>96.72</w:t>
            </w:r>
          </w:p>
        </w:tc>
        <w:tc>
          <w:tcPr>
            <w:tcW w:w="955" w:type="pct"/>
            <w:tcBorders>
              <w:top w:val="nil"/>
              <w:left w:val="nil"/>
              <w:bottom w:val="single" w:color="auto" w:sz="4" w:space="0"/>
              <w:right w:val="single" w:color="auto" w:sz="4" w:space="0"/>
            </w:tcBorders>
            <w:noWrap/>
          </w:tcPr>
          <w:p w14:paraId="68FD3F97">
            <w:pPr>
              <w:pStyle w:val="119"/>
              <w:rPr>
                <w:sz w:val="22"/>
                <w:szCs w:val="21"/>
              </w:rPr>
            </w:pPr>
            <w:r>
              <w:rPr>
                <w:sz w:val="22"/>
                <w:szCs w:val="21"/>
              </w:rPr>
              <w:t>29.59</w:t>
            </w:r>
          </w:p>
        </w:tc>
        <w:tc>
          <w:tcPr>
            <w:tcW w:w="955" w:type="pct"/>
            <w:tcBorders>
              <w:top w:val="nil"/>
              <w:left w:val="nil"/>
              <w:bottom w:val="single" w:color="auto" w:sz="4" w:space="0"/>
              <w:right w:val="single" w:color="auto" w:sz="4" w:space="0"/>
            </w:tcBorders>
            <w:noWrap/>
          </w:tcPr>
          <w:p w14:paraId="265BDF75">
            <w:pPr>
              <w:pStyle w:val="119"/>
              <w:rPr>
                <w:sz w:val="22"/>
                <w:szCs w:val="21"/>
              </w:rPr>
            </w:pPr>
            <w:r>
              <w:rPr>
                <w:sz w:val="22"/>
                <w:szCs w:val="21"/>
              </w:rPr>
              <w:t>60.71</w:t>
            </w:r>
          </w:p>
        </w:tc>
        <w:tc>
          <w:tcPr>
            <w:tcW w:w="956" w:type="pct"/>
            <w:tcBorders>
              <w:top w:val="nil"/>
              <w:left w:val="nil"/>
              <w:bottom w:val="single" w:color="auto" w:sz="4" w:space="0"/>
              <w:right w:val="single" w:color="auto" w:sz="4" w:space="0"/>
            </w:tcBorders>
            <w:noWrap/>
          </w:tcPr>
          <w:p w14:paraId="6E3BC829">
            <w:pPr>
              <w:pStyle w:val="119"/>
              <w:rPr>
                <w:sz w:val="22"/>
                <w:szCs w:val="21"/>
              </w:rPr>
            </w:pPr>
            <w:r>
              <w:rPr>
                <w:sz w:val="22"/>
                <w:szCs w:val="21"/>
              </w:rPr>
              <w:t>6.60</w:t>
            </w:r>
          </w:p>
        </w:tc>
      </w:tr>
      <w:tr w14:paraId="70D4B87A">
        <w:tblPrEx>
          <w:tblCellMar>
            <w:top w:w="0" w:type="dxa"/>
            <w:left w:w="108" w:type="dxa"/>
            <w:bottom w:w="0" w:type="dxa"/>
            <w:right w:w="108" w:type="dxa"/>
          </w:tblCellMar>
        </w:tblPrEx>
        <w:trPr>
          <w:trHeight w:val="288" w:hRule="atLeast"/>
        </w:trPr>
        <w:tc>
          <w:tcPr>
            <w:tcW w:w="1179" w:type="pct"/>
            <w:tcBorders>
              <w:top w:val="nil"/>
              <w:left w:val="single" w:color="auto" w:sz="4" w:space="0"/>
              <w:bottom w:val="single" w:color="auto" w:sz="4" w:space="0"/>
              <w:right w:val="single" w:color="auto" w:sz="4" w:space="0"/>
            </w:tcBorders>
            <w:noWrap/>
            <w:vAlign w:val="center"/>
          </w:tcPr>
          <w:p w14:paraId="76DC12A1">
            <w:pPr>
              <w:pStyle w:val="119"/>
              <w:rPr>
                <w:sz w:val="24"/>
                <w:szCs w:val="24"/>
              </w:rPr>
            </w:pPr>
            <w:r>
              <w:rPr>
                <w:rFonts w:hint="eastAsia"/>
                <w:sz w:val="24"/>
                <w:szCs w:val="24"/>
              </w:rPr>
              <w:t>河湖水生态保护网</w:t>
            </w:r>
          </w:p>
        </w:tc>
        <w:tc>
          <w:tcPr>
            <w:tcW w:w="955" w:type="pct"/>
            <w:tcBorders>
              <w:top w:val="nil"/>
              <w:left w:val="nil"/>
              <w:bottom w:val="single" w:color="auto" w:sz="4" w:space="0"/>
              <w:right w:val="single" w:color="auto" w:sz="4" w:space="0"/>
            </w:tcBorders>
            <w:noWrap/>
          </w:tcPr>
          <w:p w14:paraId="0354D1EC">
            <w:pPr>
              <w:pStyle w:val="119"/>
              <w:rPr>
                <w:sz w:val="22"/>
                <w:szCs w:val="21"/>
              </w:rPr>
            </w:pPr>
            <w:r>
              <w:rPr>
                <w:sz w:val="22"/>
                <w:szCs w:val="21"/>
              </w:rPr>
              <w:t>12.17</w:t>
            </w:r>
          </w:p>
        </w:tc>
        <w:tc>
          <w:tcPr>
            <w:tcW w:w="955" w:type="pct"/>
            <w:tcBorders>
              <w:top w:val="nil"/>
              <w:left w:val="nil"/>
              <w:bottom w:val="single" w:color="auto" w:sz="4" w:space="0"/>
              <w:right w:val="single" w:color="auto" w:sz="4" w:space="0"/>
            </w:tcBorders>
            <w:noWrap/>
          </w:tcPr>
          <w:p w14:paraId="6549FA21">
            <w:pPr>
              <w:pStyle w:val="119"/>
              <w:rPr>
                <w:sz w:val="22"/>
                <w:szCs w:val="21"/>
              </w:rPr>
            </w:pPr>
            <w:r>
              <w:rPr>
                <w:sz w:val="22"/>
                <w:szCs w:val="21"/>
              </w:rPr>
              <w:t>3.35</w:t>
            </w:r>
          </w:p>
        </w:tc>
        <w:tc>
          <w:tcPr>
            <w:tcW w:w="955" w:type="pct"/>
            <w:tcBorders>
              <w:top w:val="nil"/>
              <w:left w:val="nil"/>
              <w:bottom w:val="single" w:color="auto" w:sz="4" w:space="0"/>
              <w:right w:val="single" w:color="auto" w:sz="4" w:space="0"/>
            </w:tcBorders>
            <w:noWrap/>
          </w:tcPr>
          <w:p w14:paraId="24983EA8">
            <w:pPr>
              <w:pStyle w:val="119"/>
              <w:rPr>
                <w:sz w:val="22"/>
                <w:szCs w:val="21"/>
              </w:rPr>
            </w:pPr>
            <w:r>
              <w:rPr>
                <w:sz w:val="22"/>
                <w:szCs w:val="21"/>
              </w:rPr>
              <w:t>4.82</w:t>
            </w:r>
          </w:p>
        </w:tc>
        <w:tc>
          <w:tcPr>
            <w:tcW w:w="956" w:type="pct"/>
            <w:tcBorders>
              <w:top w:val="nil"/>
              <w:left w:val="nil"/>
              <w:bottom w:val="single" w:color="auto" w:sz="4" w:space="0"/>
              <w:right w:val="single" w:color="auto" w:sz="4" w:space="0"/>
            </w:tcBorders>
            <w:noWrap/>
          </w:tcPr>
          <w:p w14:paraId="4E63EC3E">
            <w:pPr>
              <w:pStyle w:val="119"/>
              <w:rPr>
                <w:sz w:val="22"/>
                <w:szCs w:val="21"/>
              </w:rPr>
            </w:pPr>
            <w:r>
              <w:rPr>
                <w:sz w:val="22"/>
                <w:szCs w:val="21"/>
              </w:rPr>
              <w:t>4.00</w:t>
            </w:r>
          </w:p>
        </w:tc>
      </w:tr>
      <w:tr w14:paraId="49FA6833">
        <w:trPr>
          <w:trHeight w:val="288" w:hRule="atLeast"/>
        </w:trPr>
        <w:tc>
          <w:tcPr>
            <w:tcW w:w="1179" w:type="pct"/>
            <w:tcBorders>
              <w:top w:val="nil"/>
              <w:left w:val="single" w:color="auto" w:sz="4" w:space="0"/>
              <w:bottom w:val="single" w:color="auto" w:sz="4" w:space="0"/>
              <w:right w:val="single" w:color="auto" w:sz="4" w:space="0"/>
            </w:tcBorders>
            <w:noWrap/>
            <w:vAlign w:val="center"/>
          </w:tcPr>
          <w:p w14:paraId="2E169EE2">
            <w:pPr>
              <w:pStyle w:val="119"/>
              <w:rPr>
                <w:sz w:val="24"/>
                <w:szCs w:val="24"/>
              </w:rPr>
            </w:pPr>
            <w:r>
              <w:rPr>
                <w:rFonts w:hint="eastAsia"/>
                <w:sz w:val="24"/>
                <w:szCs w:val="24"/>
              </w:rPr>
              <w:t>数字孪生水网</w:t>
            </w:r>
          </w:p>
        </w:tc>
        <w:tc>
          <w:tcPr>
            <w:tcW w:w="955" w:type="pct"/>
            <w:tcBorders>
              <w:top w:val="nil"/>
              <w:left w:val="nil"/>
              <w:bottom w:val="single" w:color="auto" w:sz="4" w:space="0"/>
              <w:right w:val="single" w:color="auto" w:sz="4" w:space="0"/>
            </w:tcBorders>
            <w:noWrap/>
          </w:tcPr>
          <w:p w14:paraId="244C2EC7">
            <w:pPr>
              <w:pStyle w:val="119"/>
              <w:rPr>
                <w:sz w:val="22"/>
                <w:szCs w:val="21"/>
              </w:rPr>
            </w:pPr>
            <w:r>
              <w:rPr>
                <w:sz w:val="22"/>
                <w:szCs w:val="21"/>
              </w:rPr>
              <w:t>9.70</w:t>
            </w:r>
          </w:p>
        </w:tc>
        <w:tc>
          <w:tcPr>
            <w:tcW w:w="955" w:type="pct"/>
            <w:tcBorders>
              <w:top w:val="nil"/>
              <w:left w:val="nil"/>
              <w:bottom w:val="single" w:color="auto" w:sz="4" w:space="0"/>
              <w:right w:val="single" w:color="auto" w:sz="4" w:space="0"/>
            </w:tcBorders>
            <w:noWrap/>
          </w:tcPr>
          <w:p w14:paraId="0DC20E01">
            <w:pPr>
              <w:pStyle w:val="119"/>
              <w:rPr>
                <w:sz w:val="22"/>
                <w:szCs w:val="21"/>
              </w:rPr>
            </w:pPr>
            <w:r>
              <w:rPr>
                <w:sz w:val="22"/>
                <w:szCs w:val="21"/>
              </w:rPr>
              <w:t>0.00</w:t>
            </w:r>
          </w:p>
        </w:tc>
        <w:tc>
          <w:tcPr>
            <w:tcW w:w="955" w:type="pct"/>
            <w:tcBorders>
              <w:top w:val="nil"/>
              <w:left w:val="nil"/>
              <w:bottom w:val="single" w:color="auto" w:sz="4" w:space="0"/>
              <w:right w:val="single" w:color="auto" w:sz="4" w:space="0"/>
            </w:tcBorders>
            <w:noWrap/>
          </w:tcPr>
          <w:p w14:paraId="5C93753B">
            <w:pPr>
              <w:pStyle w:val="119"/>
              <w:rPr>
                <w:sz w:val="22"/>
                <w:szCs w:val="21"/>
              </w:rPr>
            </w:pPr>
            <w:r>
              <w:rPr>
                <w:sz w:val="22"/>
                <w:szCs w:val="21"/>
              </w:rPr>
              <w:t>5.90</w:t>
            </w:r>
          </w:p>
        </w:tc>
        <w:tc>
          <w:tcPr>
            <w:tcW w:w="956" w:type="pct"/>
            <w:tcBorders>
              <w:top w:val="nil"/>
              <w:left w:val="nil"/>
              <w:bottom w:val="single" w:color="auto" w:sz="4" w:space="0"/>
              <w:right w:val="single" w:color="auto" w:sz="4" w:space="0"/>
            </w:tcBorders>
            <w:noWrap/>
          </w:tcPr>
          <w:p w14:paraId="70770D86">
            <w:pPr>
              <w:pStyle w:val="119"/>
              <w:rPr>
                <w:sz w:val="22"/>
                <w:szCs w:val="21"/>
              </w:rPr>
            </w:pPr>
            <w:r>
              <w:rPr>
                <w:sz w:val="22"/>
                <w:szCs w:val="21"/>
              </w:rPr>
              <w:t>3.80</w:t>
            </w:r>
          </w:p>
        </w:tc>
      </w:tr>
    </w:tbl>
    <w:p w14:paraId="5892B667">
      <w:pPr>
        <w:pStyle w:val="34"/>
      </w:pPr>
      <w:bookmarkStart w:id="190" w:name="_Toc216964784"/>
      <w:r>
        <w:rPr>
          <w:rFonts w:hint="eastAsia"/>
        </w:rPr>
        <w:t>（二）实施安排</w:t>
      </w:r>
      <w:bookmarkEnd w:id="190"/>
    </w:p>
    <w:p w14:paraId="2532AED0">
      <w:pPr>
        <w:pStyle w:val="82"/>
        <w:ind w:firstLine="648"/>
      </w:pPr>
      <w:r>
        <w:rPr>
          <w:rFonts w:hint="eastAsia"/>
        </w:rPr>
        <w:t>根据额尔古纳市水网建设存在的问题及经济社会发展需求，在充分考虑水资源开发利用现状及经济发展的情况下，对规划提出的各类工程项目，按照增产增效潜力大、经济社会及生态效益好的项目优先安排原则，分轻重缓急统筹各类项目实施顺序。具体实施按以下原则进行安排：</w:t>
      </w:r>
    </w:p>
    <w:p w14:paraId="4E771174">
      <w:pPr>
        <w:pStyle w:val="82"/>
        <w:ind w:firstLine="648"/>
      </w:pPr>
      <w:r>
        <w:rPr>
          <w:rFonts w:hint="eastAsia"/>
        </w:rPr>
        <w:t>一是优先实施已纳入全国、自治区、呼伦贝尔市及额尔古纳市“十四五”水安全保障规划等规划内的项目。根据项目开展前期工作深度，优先安排已开展前期工作的项目。</w:t>
      </w:r>
    </w:p>
    <w:p w14:paraId="67CF6483">
      <w:pPr>
        <w:pStyle w:val="82"/>
        <w:ind w:firstLine="648"/>
      </w:pPr>
      <w:r>
        <w:rPr>
          <w:rFonts w:hint="eastAsia"/>
        </w:rPr>
        <w:t>二是根据项目建设的紧迫性，优先安排与人民群众生活、生产密切相关的民生水利项目，如以城镇供水为重点的水源工程等。优先安排支持和保障区域经济社会发展和人民生命财产安全的较大项目，如防洪工程、灌区工程等。</w:t>
      </w:r>
    </w:p>
    <w:p w14:paraId="04433AE3">
      <w:pPr>
        <w:pStyle w:val="82"/>
        <w:ind w:firstLine="648"/>
      </w:pPr>
      <w:r>
        <w:rPr>
          <w:rFonts w:hint="eastAsia"/>
        </w:rPr>
        <w:t>三是根据流域及区域间协调难度，优先安排土地利用及生态环境等关系协调难度不大、不存在影响项目立项的重大制约因素不造成新的水事矛盾，不会对下游河道生态造成重大不利影响的项目。</w:t>
      </w:r>
    </w:p>
    <w:p w14:paraId="18088C73">
      <w:pPr>
        <w:pStyle w:val="82"/>
        <w:ind w:firstLine="648"/>
      </w:pPr>
      <w:r>
        <w:rPr>
          <w:rFonts w:hint="eastAsia"/>
        </w:rPr>
        <w:t>四是考虑近期与远期相结合，由于大型水利工程建设有较长周期，为解决区域经济社会发展近期发展用水需求，适当建设中小型水利工程，以满足大型水利工程建设周期内的发展用水需求。</w:t>
      </w:r>
    </w:p>
    <w:p w14:paraId="39E11A64">
      <w:pPr>
        <w:pStyle w:val="33"/>
        <w:rPr>
          <w:rFonts w:hint="eastAsia"/>
        </w:rPr>
        <w:sectPr>
          <w:pgSz w:w="11906" w:h="16838"/>
          <w:pgMar w:top="1418" w:right="1418" w:bottom="1418" w:left="1418" w:header="851" w:footer="992" w:gutter="0"/>
          <w:cols w:space="425" w:num="1"/>
          <w:docGrid w:type="lines" w:linePitch="312" w:charSpace="0"/>
        </w:sectPr>
      </w:pPr>
    </w:p>
    <w:p w14:paraId="045E9F75">
      <w:pPr>
        <w:pStyle w:val="208"/>
        <w:rPr>
          <w:rFonts w:hint="eastAsia"/>
        </w:rPr>
      </w:pPr>
      <w:bookmarkStart w:id="191" w:name="_Toc216964785"/>
      <w:bookmarkStart w:id="192" w:name="_Toc177710275"/>
      <w:r>
        <w:rPr>
          <w:rFonts w:hint="eastAsia"/>
        </w:rPr>
        <w:t>十、环境影响评价</w:t>
      </w:r>
      <w:bookmarkEnd w:id="191"/>
      <w:bookmarkEnd w:id="192"/>
    </w:p>
    <w:p w14:paraId="33455853">
      <w:pPr>
        <w:pStyle w:val="34"/>
      </w:pPr>
      <w:bookmarkStart w:id="193" w:name="_Toc177710276"/>
      <w:bookmarkStart w:id="194" w:name="_Toc216964786"/>
      <w:r>
        <w:rPr>
          <w:rFonts w:hint="eastAsia"/>
        </w:rPr>
        <w:t>（一）环境保护</w:t>
      </w:r>
      <w:bookmarkEnd w:id="193"/>
      <w:r>
        <w:rPr>
          <w:rFonts w:hint="eastAsia"/>
        </w:rPr>
        <w:t>现状</w:t>
      </w:r>
      <w:bookmarkEnd w:id="194"/>
    </w:p>
    <w:p w14:paraId="27E5182B">
      <w:pPr>
        <w:pStyle w:val="64"/>
      </w:pPr>
      <w:r>
        <w:rPr>
          <w:rFonts w:hint="eastAsia"/>
        </w:rPr>
        <w:t>1. 水环境现状</w:t>
      </w:r>
    </w:p>
    <w:p w14:paraId="46748431">
      <w:pPr>
        <w:pStyle w:val="82"/>
        <w:ind w:firstLine="648"/>
      </w:pPr>
      <w:r>
        <w:rPr>
          <w:rFonts w:hint="eastAsia"/>
        </w:rPr>
        <w:t>额尔古纳市现有国考断面两个，分别为根河口内、苏沁断面，根据“十四五”考核目标，两个断面的目标水质皆为III类水体，自2019年至2023年，均达到目标水质。</w:t>
      </w:r>
    </w:p>
    <w:p w14:paraId="03B0B7AB">
      <w:pPr>
        <w:pStyle w:val="64"/>
      </w:pPr>
      <w:r>
        <w:rPr>
          <w:rFonts w:hint="eastAsia"/>
        </w:rPr>
        <w:t>2. 水生态现状</w:t>
      </w:r>
    </w:p>
    <w:p w14:paraId="522F5495">
      <w:pPr>
        <w:pStyle w:val="82"/>
        <w:ind w:firstLine="648"/>
      </w:pPr>
      <w:r>
        <w:rPr>
          <w:rFonts w:hint="eastAsia"/>
        </w:rPr>
        <w:t>根河流域内浮游植物7门50属。其中绿藻门16属，硅藻门15属，兰藻门8属，金藻门5属，隐藻门2属，裸藻门3属，甲藻门1属。浮游动物有4大类22属2科。其中枝角类1属，轮虫9属，原生动物12属，桡足类2科。底栖动物13种，隶属4门、5纲、12科。流域共有水生植物27种属，其中包括沉水植物、挺水植物、浮叶植物以及一些湿地植物。</w:t>
      </w:r>
    </w:p>
    <w:p w14:paraId="4CBAEC46">
      <w:pPr>
        <w:pStyle w:val="82"/>
        <w:ind w:firstLine="648"/>
      </w:pPr>
      <w:r>
        <w:rPr>
          <w:rFonts w:hint="eastAsia"/>
        </w:rPr>
        <w:t>据调查和相关资料显示，根河流域内共有鱼类13个科54种，其中重要及常见的鱼类有30多种，此外还有秀丽白虾、褶纹冠蚌、极北小鲵等水生野生动物，鲟、鳇鱼类、雷氏七鳃鳗、短颌白鲑、哲罗鱼、细鳞鱼、江鳕、怀头鲶、狗鱼等珍稀名贵鱼类。由于人类活动影响，流域内虽有分布，但数量很少。</w:t>
      </w:r>
    </w:p>
    <w:p w14:paraId="0FA72355">
      <w:pPr>
        <w:pStyle w:val="34"/>
      </w:pPr>
      <w:bookmarkStart w:id="195" w:name="_Toc216964787"/>
      <w:r>
        <w:rPr>
          <w:rFonts w:hint="eastAsia"/>
        </w:rPr>
        <w:t>（二）环境保护要求</w:t>
      </w:r>
      <w:bookmarkEnd w:id="195"/>
    </w:p>
    <w:p w14:paraId="6D080692">
      <w:pPr>
        <w:pStyle w:val="64"/>
      </w:pPr>
      <w:r>
        <w:t>1</w:t>
      </w:r>
      <w:r>
        <w:rPr>
          <w:rFonts w:hint="eastAsia"/>
        </w:rPr>
        <w:t>. 环境功能保护目标</w:t>
      </w:r>
    </w:p>
    <w:p w14:paraId="034AA6B8">
      <w:pPr>
        <w:pStyle w:val="82"/>
        <w:ind w:firstLine="648"/>
      </w:pPr>
      <w:r>
        <w:rPr>
          <w:rFonts w:hint="eastAsia"/>
        </w:rPr>
        <w:t>（</w:t>
      </w:r>
      <w:r>
        <w:t>1</w:t>
      </w:r>
      <w:r>
        <w:rPr>
          <w:rFonts w:hint="eastAsia"/>
        </w:rPr>
        <w:t>）水资源</w:t>
      </w:r>
    </w:p>
    <w:p w14:paraId="0422F116">
      <w:pPr>
        <w:pStyle w:val="82"/>
        <w:ind w:firstLine="648"/>
      </w:pPr>
      <w:r>
        <w:rPr>
          <w:rFonts w:hint="eastAsia"/>
        </w:rPr>
        <w:t>在保护生态环境、维护河流健康的前提下，合理开发利用和保护水资源，协调水资源开发利用与其他规划任务的关系，促进当地经济发展，改善生态环境。</w:t>
      </w:r>
    </w:p>
    <w:p w14:paraId="75B1C621">
      <w:pPr>
        <w:pStyle w:val="82"/>
        <w:ind w:firstLine="648"/>
      </w:pPr>
      <w:r>
        <w:rPr>
          <w:rFonts w:hint="eastAsia"/>
        </w:rPr>
        <w:t>（</w:t>
      </w:r>
      <w:r>
        <w:t>2</w:t>
      </w:r>
      <w:r>
        <w:rPr>
          <w:rFonts w:hint="eastAsia"/>
        </w:rPr>
        <w:t>）水环境</w:t>
      </w:r>
    </w:p>
    <w:p w14:paraId="3A75B894">
      <w:pPr>
        <w:pStyle w:val="82"/>
        <w:ind w:firstLine="648"/>
      </w:pPr>
      <w:r>
        <w:rPr>
          <w:rFonts w:hint="eastAsia"/>
        </w:rPr>
        <w:t>全面改善河湖生态环境，逐步提高河渠湖沟水系连通性。改善城乡水体生态功能，加强水环境生态修复能力。</w:t>
      </w:r>
    </w:p>
    <w:p w14:paraId="5A62A859">
      <w:pPr>
        <w:pStyle w:val="82"/>
        <w:ind w:firstLine="648"/>
      </w:pPr>
      <w:r>
        <w:rPr>
          <w:rFonts w:hint="eastAsia"/>
        </w:rPr>
        <w:t>（</w:t>
      </w:r>
      <w:r>
        <w:t>3</w:t>
      </w:r>
      <w:r>
        <w:rPr>
          <w:rFonts w:hint="eastAsia"/>
        </w:rPr>
        <w:t>）生态环境</w:t>
      </w:r>
    </w:p>
    <w:p w14:paraId="78B63C7A">
      <w:pPr>
        <w:pStyle w:val="82"/>
        <w:ind w:firstLine="648"/>
      </w:pPr>
      <w:r>
        <w:rPr>
          <w:rFonts w:hint="eastAsia"/>
        </w:rPr>
        <w:t>严守生态保护红线、资源利用上限与环境质量底线，加强额尔古纳市河流水源涵养，保护生物多样性和环境敏感区，保护主要江河湖库水生态系统。应以生态敏感区的生态系统结构与功能不受影响为准则开发额尔古纳国家级自然保护区、额尔古纳湿地自治区级自然保护区、额尔古纳国家湿地公园、室韦自治区级自然保护区和莫尔道嘎国家森林公园等重要区域。</w:t>
      </w:r>
    </w:p>
    <w:p w14:paraId="1FB0B710">
      <w:pPr>
        <w:pStyle w:val="82"/>
        <w:ind w:firstLine="648"/>
      </w:pPr>
      <w:r>
        <w:rPr>
          <w:rFonts w:hint="eastAsia"/>
        </w:rPr>
        <w:t>（</w:t>
      </w:r>
      <w:r>
        <w:t>4</w:t>
      </w:r>
      <w:r>
        <w:rPr>
          <w:rFonts w:hint="eastAsia"/>
        </w:rPr>
        <w:t>）社会环境</w:t>
      </w:r>
    </w:p>
    <w:p w14:paraId="2BB75889">
      <w:pPr>
        <w:pStyle w:val="82"/>
        <w:ind w:firstLine="648"/>
      </w:pPr>
      <w:r>
        <w:rPr>
          <w:rFonts w:hint="eastAsia"/>
        </w:rPr>
        <w:t>开发需符合国家及省市国民经济和社会发展的需要，适应区域环境保护与环境功能的要求，推动绿色发展，促进人与自然和谐共生制度和生态效益补偿机制。</w:t>
      </w:r>
    </w:p>
    <w:p w14:paraId="15A3E86A">
      <w:pPr>
        <w:pStyle w:val="64"/>
      </w:pPr>
      <w:r>
        <w:t>2</w:t>
      </w:r>
      <w:r>
        <w:rPr>
          <w:rFonts w:hint="eastAsia"/>
        </w:rPr>
        <w:t>. 环境敏感保护目标</w:t>
      </w:r>
    </w:p>
    <w:p w14:paraId="1FC90862">
      <w:pPr>
        <w:pStyle w:val="82"/>
        <w:ind w:firstLine="648"/>
      </w:pPr>
      <w:r>
        <w:rPr>
          <w:rFonts w:hint="eastAsia"/>
        </w:rPr>
        <w:t>环境敏感保护目标主要包括生态保护红线、自然保护区、风景名胜区、森林公园、地质公园、饮用水水源保护区、湿地公园、水产种质资源保护区等。经初步识别，额尔古纳市环境敏感目标和生态保护红线主要为额尔古纳国家级风景名胜区、额尔古纳国家级自然保护区、额尔古纳湿地自治区级自然保护区、额尔古纳国家湿地公园、室韦自治区级自然保护区、莫尔道嘎国家森林公园、8处城乡集中式饮用水水源地等。</w:t>
      </w:r>
    </w:p>
    <w:p w14:paraId="7C6F1FE3">
      <w:pPr>
        <w:pStyle w:val="34"/>
      </w:pPr>
      <w:bookmarkStart w:id="196" w:name="_Toc216964788"/>
      <w:bookmarkStart w:id="197" w:name="_Toc177710277"/>
      <w:r>
        <w:rPr>
          <w:rFonts w:hint="eastAsia"/>
        </w:rPr>
        <w:t>（三）规划符合性分析</w:t>
      </w:r>
      <w:bookmarkEnd w:id="196"/>
      <w:bookmarkEnd w:id="197"/>
    </w:p>
    <w:p w14:paraId="6CABC83D">
      <w:pPr>
        <w:pStyle w:val="64"/>
      </w:pPr>
      <w:r>
        <w:t>1</w:t>
      </w:r>
      <w:r>
        <w:rPr>
          <w:rFonts w:hint="eastAsia"/>
        </w:rPr>
        <w:t>. 与法律法规的符合性分析</w:t>
      </w:r>
    </w:p>
    <w:p w14:paraId="32FA7E24">
      <w:pPr>
        <w:pStyle w:val="82"/>
        <w:ind w:firstLine="648"/>
      </w:pPr>
      <w:r>
        <w:rPr>
          <w:rFonts w:hint="eastAsia"/>
        </w:rPr>
        <w:t>（</w:t>
      </w:r>
      <w:r>
        <w:t>1</w:t>
      </w:r>
      <w:r>
        <w:rPr>
          <w:rFonts w:hint="eastAsia"/>
        </w:rPr>
        <w:t>）与《中华人民共和国水法》的协调性分析</w:t>
      </w:r>
    </w:p>
    <w:p w14:paraId="233EDAF8">
      <w:pPr>
        <w:pStyle w:val="82"/>
        <w:ind w:firstLine="648"/>
      </w:pPr>
      <w:r>
        <w:rPr>
          <w:rFonts w:hint="eastAsia"/>
        </w:rPr>
        <w:t>《中华人民共和国水法》第二章第十四条规定，“开发、利用、节约、保护水资源和防治水害，应当按照流域、区域统一制定规划。”第二十一条规定：“开发、利用水资源，应当首先满足城乡居民生活用水，并兼顾农业、工业、生态环境用水以及航运等需要。”本规划梳理了环境现状和主要环境问题，结合额尔古纳市特点，提出了水资源配置与供水工程、灌溉、水环境与水生态保护等专项规划。规划的实施不仅能从量上满足城乡居民生活用水、农业用水、生态环境用水的量，还能保证用水安全，因此规划和《中华人民共和国水法》是相符的。</w:t>
      </w:r>
    </w:p>
    <w:p w14:paraId="4FA1CC47">
      <w:pPr>
        <w:pStyle w:val="82"/>
        <w:ind w:firstLine="648"/>
      </w:pPr>
      <w:r>
        <w:rPr>
          <w:rFonts w:hint="eastAsia"/>
        </w:rPr>
        <w:t>（</w:t>
      </w:r>
      <w:r>
        <w:t>2</w:t>
      </w:r>
      <w:r>
        <w:rPr>
          <w:rFonts w:hint="eastAsia"/>
        </w:rPr>
        <w:t>）与《中华人民共和国防洪法》协调性分析</w:t>
      </w:r>
    </w:p>
    <w:p w14:paraId="59C581E2">
      <w:pPr>
        <w:pStyle w:val="82"/>
        <w:ind w:firstLine="648"/>
      </w:pPr>
      <w:r>
        <w:rPr>
          <w:rFonts w:hint="eastAsia"/>
        </w:rPr>
        <w:t>《中华人民共和国防洪法》第一章第四条规定“开发利用和保护水资源，应当服从防洪总体安排，实行兴利与除害相结合的原则”。防洪专项规划实施后，将显著提高额尔古纳市抗御洪涝灾害能力，改善区域经济社会发展条件，因此规划和《中华人民共和国防洪法》是相符的。</w:t>
      </w:r>
    </w:p>
    <w:p w14:paraId="03D37F8F">
      <w:pPr>
        <w:pStyle w:val="64"/>
      </w:pPr>
      <w:r>
        <w:rPr>
          <w:rFonts w:hint="eastAsia"/>
        </w:rPr>
        <w:t>2. 与相关规划的符合性分析</w:t>
      </w:r>
    </w:p>
    <w:p w14:paraId="799AC2D8">
      <w:pPr>
        <w:pStyle w:val="82"/>
        <w:ind w:firstLine="648"/>
      </w:pPr>
      <w:r>
        <w:rPr>
          <w:rFonts w:hint="eastAsia"/>
        </w:rPr>
        <w:t>《额尔古纳市国土空间总体规划（</w:t>
      </w:r>
      <w:r>
        <w:t>2021-2035</w:t>
      </w:r>
      <w:r>
        <w:rPr>
          <w:rFonts w:hint="eastAsia"/>
        </w:rPr>
        <w:t>年）》提出：“加强生态清洁小流域建设，保护水生生态健康。强化饮用水水源区林地管护，整治城市黑臭水体，加强节水管理，提高工业用水重复利用率。”本规划坚持绿水青山就是金山银山的理念，大力推进生态文明建设，兼顾水资源配置和水环境水生态保护，充分考虑对生态环境的影响，提出环境保护对策，合理确定工程建设规模。规划实施后，可改善河湖水质，提高饮用水安全，恢复水生态系统的完整性，加强水源涵养，最终可助力额尔古纳市实现生态可持续性发展。因此本规划与《额尔古纳市国土空间总体规划（</w:t>
      </w:r>
      <w:r>
        <w:t>2021-2035</w:t>
      </w:r>
      <w:r>
        <w:rPr>
          <w:rFonts w:hint="eastAsia"/>
        </w:rPr>
        <w:t>年）》相符。</w:t>
      </w:r>
    </w:p>
    <w:p w14:paraId="2B368AEE">
      <w:pPr>
        <w:pStyle w:val="64"/>
      </w:pPr>
      <w:r>
        <w:rPr>
          <w:rFonts w:hint="eastAsia"/>
        </w:rPr>
        <w:t>3. 与额尔古纳市“三线一单”的符合性分析</w:t>
      </w:r>
    </w:p>
    <w:p w14:paraId="4DB09B75">
      <w:pPr>
        <w:pStyle w:val="82"/>
        <w:ind w:firstLine="648"/>
      </w:pPr>
      <w:r>
        <w:rPr>
          <w:rFonts w:hint="eastAsia"/>
        </w:rPr>
        <w:t>（1）生态保护红线</w:t>
      </w:r>
    </w:p>
    <w:p w14:paraId="6C65FE63">
      <w:pPr>
        <w:pStyle w:val="82"/>
        <w:ind w:firstLine="648"/>
      </w:pPr>
      <w:r>
        <w:rPr>
          <w:rFonts w:hint="eastAsia"/>
        </w:rPr>
        <w:t>（1）生态保护红线</w:t>
      </w:r>
    </w:p>
    <w:p w14:paraId="4684CF12">
      <w:pPr>
        <w:pStyle w:val="82"/>
        <w:ind w:firstLine="648"/>
      </w:pPr>
      <w:r>
        <w:rPr>
          <w:rFonts w:hint="eastAsia"/>
        </w:rPr>
        <w:t>经初步识别，规划方案涉及生态保护红线。根据《生态保护红线生态环境监督办法（试行）》第七条：“生态保护红线内，自然保护地核心保护区原则上禁止人为活动，其他区域严格禁止开发性、生产性建设活动，在符合现行法律法规前提下，除国家重大战略项目外，仅允许对生态功能不造成破坏的有限人为活动。”规划实施能够有效改善额尔古纳市流域水生态环境，提升水环境质量，对打造美丽额尔古纳起到重要作用；有利于治理和控制水土流失问题，改善生态环境。下阶段规划工程具体实施尽可能避让</w:t>
      </w:r>
      <w:r>
        <w:t>生态保护红线</w:t>
      </w:r>
      <w:r>
        <w:rPr>
          <w:rFonts w:hint="eastAsia"/>
        </w:rPr>
        <w:t>，减少对生态环境的影响。</w:t>
      </w:r>
    </w:p>
    <w:p w14:paraId="2414AAE7">
      <w:pPr>
        <w:pStyle w:val="82"/>
        <w:ind w:firstLine="648"/>
      </w:pPr>
      <w:r>
        <w:rPr>
          <w:rFonts w:hint="eastAsia"/>
        </w:rPr>
        <w:t>（2）环境质量底线</w:t>
      </w:r>
    </w:p>
    <w:p w14:paraId="4667825A">
      <w:pPr>
        <w:pStyle w:val="82"/>
        <w:ind w:firstLine="648"/>
      </w:pPr>
      <w:r>
        <w:rPr>
          <w:rFonts w:hint="eastAsia"/>
        </w:rPr>
        <w:t>规划对环境的影响主要集中在规划工程的施工期，采取相应环保措施后对周边环境质量影响较小。规划工程的实施不会降低周围环境功能，并且能有效改善流域生态环境，综合分析工程建设不会触及环境质量底线。</w:t>
      </w:r>
    </w:p>
    <w:p w14:paraId="6AF0334B">
      <w:pPr>
        <w:pStyle w:val="82"/>
        <w:ind w:firstLine="648"/>
      </w:pPr>
      <w:r>
        <w:rPr>
          <w:rFonts w:hint="eastAsia"/>
        </w:rPr>
        <w:t>（3）资源利用上线</w:t>
      </w:r>
    </w:p>
    <w:p w14:paraId="663CB46F">
      <w:pPr>
        <w:pStyle w:val="82"/>
        <w:ind w:firstLine="648"/>
      </w:pPr>
      <w:r>
        <w:rPr>
          <w:rFonts w:hint="eastAsia"/>
        </w:rPr>
        <w:t>规划工程中的供水工程将小幅增加用水总量，但是规划实施能有效提升城乡居民用水安全，提升灌溉保证率，解决部分区域水资源短缺问题，从民众用水安全和经济发展角度分析，规划实施利大于弊。因此规划符合资源利用上线的要求。</w:t>
      </w:r>
    </w:p>
    <w:p w14:paraId="44820BF1">
      <w:pPr>
        <w:pStyle w:val="82"/>
        <w:ind w:firstLine="648"/>
      </w:pPr>
      <w:r>
        <w:rPr>
          <w:rFonts w:hint="eastAsia"/>
        </w:rPr>
        <w:t>（4）生态环境准入清单</w:t>
      </w:r>
    </w:p>
    <w:p w14:paraId="2FA7A01C">
      <w:pPr>
        <w:pStyle w:val="82"/>
        <w:ind w:firstLine="648"/>
      </w:pPr>
      <w:r>
        <w:rPr>
          <w:rFonts w:hint="eastAsia"/>
        </w:rPr>
        <w:t>根据《呼伦贝尔市人民政府关于实施“三线一单”生态环境分区管控的意见》（呼政发〔2021〕26号），初步识别规划涉及区域属于“优先保护单元”、“重点管控单元”和“一般管控单元”。规划工程实施设计阶段应进一步对照《呼伦贝尔市人民政府关于实施“三线一单”生态环境分区管控的意见》和《呼伦贝尔市生态环境准入清单》，分析具体工程与总准入要求和准入清单的符合性。</w:t>
      </w:r>
    </w:p>
    <w:p w14:paraId="746E24BB">
      <w:pPr>
        <w:pStyle w:val="34"/>
      </w:pPr>
      <w:bookmarkStart w:id="198" w:name="_Toc216964789"/>
      <w:bookmarkStart w:id="199" w:name="_Toc177710278"/>
      <w:r>
        <w:rPr>
          <w:rFonts w:hint="eastAsia"/>
        </w:rPr>
        <w:t>（四）主要环境影响预测与分析</w:t>
      </w:r>
      <w:bookmarkEnd w:id="198"/>
      <w:bookmarkEnd w:id="199"/>
    </w:p>
    <w:p w14:paraId="051C2D5D">
      <w:pPr>
        <w:pStyle w:val="64"/>
      </w:pPr>
      <w:r>
        <w:rPr>
          <w:rFonts w:hint="eastAsia"/>
        </w:rPr>
        <w:t xml:space="preserve">1. </w:t>
      </w:r>
      <w:r>
        <w:t>水文水资源影响分析</w:t>
      </w:r>
    </w:p>
    <w:p w14:paraId="034AF61C">
      <w:pPr>
        <w:pStyle w:val="82"/>
        <w:ind w:firstLine="648"/>
      </w:pPr>
      <w:r>
        <w:rPr>
          <w:rFonts w:hint="eastAsia"/>
        </w:rPr>
        <w:t>本次规划从配合推进重大引水工程建设、加快区域引水工程建设、加快水源工程建设等几个方面，规划工程实施可加快构建额尔古纳市高质量水资源配置工程体系，有效提升水资源的开发利用率实现水资源优化配置，缓解部分乡镇水资源供应压力，全面提升供水保障能力。</w:t>
      </w:r>
    </w:p>
    <w:p w14:paraId="15755131">
      <w:pPr>
        <w:pStyle w:val="64"/>
      </w:pPr>
      <w:r>
        <w:t>2. 环境影响分析</w:t>
      </w:r>
    </w:p>
    <w:p w14:paraId="243B0D3A">
      <w:pPr>
        <w:pStyle w:val="82"/>
        <w:ind w:firstLine="648"/>
      </w:pPr>
      <w:r>
        <w:rPr>
          <w:rFonts w:hint="eastAsia"/>
        </w:rPr>
        <w:t>规划保障灌溉用水为重点，规划多座调蓄池工程，有效提升额尔古纳市河湖供水保障能力。</w:t>
      </w:r>
    </w:p>
    <w:p w14:paraId="7B928CED">
      <w:pPr>
        <w:pStyle w:val="64"/>
      </w:pPr>
      <w:r>
        <w:rPr>
          <w:rFonts w:hint="eastAsia"/>
        </w:rPr>
        <w:t>3</w:t>
      </w:r>
      <w:r>
        <w:t>. 陆生生态环境影响分析</w:t>
      </w:r>
    </w:p>
    <w:p w14:paraId="4673B192">
      <w:pPr>
        <w:pStyle w:val="82"/>
        <w:ind w:firstLine="648"/>
      </w:pPr>
      <w:r>
        <w:rPr>
          <w:rFonts w:hint="eastAsia"/>
        </w:rPr>
        <w:t>规划蓄水池工程提高了水资源保障水平，强化了饮水安全保障，减少了洪旱灾害，也减轻了因洪旱灾害发生的珍稀动植物死亡、生物多样性减少、生物栖息地破坏等生态环境灾害。规划的各项工程实施过程中，工程永久占地和临时占地会破坏周边地表植被，减少植物面积、惊扰动物栖息环境，但不会对区域的动植物类型和种类发生大的改变。规划工程实施过程中，需严格施工管理，尽量少占用土地、少占压植被，减少水土流失；重视珍惜动植物保护，按照避让、减缓、补救的顺序采取保护措施。</w:t>
      </w:r>
    </w:p>
    <w:p w14:paraId="10D34EB4">
      <w:pPr>
        <w:pStyle w:val="64"/>
      </w:pPr>
      <w:r>
        <w:rPr>
          <w:rFonts w:hint="eastAsia"/>
        </w:rPr>
        <w:t>4</w:t>
      </w:r>
      <w:r>
        <w:t>. 水生生态环境影响分析</w:t>
      </w:r>
    </w:p>
    <w:p w14:paraId="2094D386">
      <w:pPr>
        <w:pStyle w:val="82"/>
        <w:ind w:firstLine="648"/>
      </w:pPr>
      <w:r>
        <w:rPr>
          <w:rFonts w:hint="eastAsia"/>
        </w:rPr>
        <w:t>规划工程实施后，河道沿岸带护岸和建堤占用部分河床或岸滩，河道沿岸带基质变化，河道横向连通性受到一定影响，该类规划实施对鱼类资源的影响有限。水生态保护与修复体系建设规划的实施可以缓解现有水资源开发造成的上下游阻隔、水文情势变化的影响，有利于保护鱼类及其栖息地的保护。规划实施过程中应采取保障生态流量、生境修复、增殖放流等措施，减缓资源损失和生境破碎的影响。</w:t>
      </w:r>
    </w:p>
    <w:p w14:paraId="68291CB1">
      <w:pPr>
        <w:pStyle w:val="64"/>
      </w:pPr>
      <w:r>
        <w:t>5.</w:t>
      </w:r>
      <w:r>
        <w:rPr>
          <w:rFonts w:hint="eastAsia"/>
        </w:rPr>
        <w:t xml:space="preserve"> 对环境敏感区的影响分析</w:t>
      </w:r>
    </w:p>
    <w:p w14:paraId="7F46D9BB">
      <w:pPr>
        <w:pStyle w:val="82"/>
        <w:ind w:firstLine="648"/>
      </w:pPr>
      <w:r>
        <w:rPr>
          <w:rFonts w:hint="eastAsia"/>
        </w:rPr>
        <w:t>经初步识别分析，部分规划工程涉及自然保护区、水源涵养和生物多样性保护区、湿地公园等环境敏感区，规划实施会影响环境敏感区的生态环境。</w:t>
      </w:r>
    </w:p>
    <w:p w14:paraId="53D761BC">
      <w:pPr>
        <w:pStyle w:val="82"/>
        <w:ind w:firstLine="648"/>
      </w:pPr>
      <w:r>
        <w:rPr>
          <w:rFonts w:hint="eastAsia"/>
        </w:rPr>
        <w:t>建议在下阶段进一步核实规划工程与生态环境敏感目标的相对位置关系，充分论证选址以及必要性，遵循“生态优先，统筹考虑，适度开发，确保底线”的原则，同时针对规划的环境影响及环境敏感问题开展进一步研究，并提出有效地避让和减缓措施。</w:t>
      </w:r>
    </w:p>
    <w:p w14:paraId="50583310">
      <w:pPr>
        <w:pStyle w:val="82"/>
        <w:ind w:firstLine="648"/>
      </w:pPr>
      <w:r>
        <w:rPr>
          <w:rFonts w:hint="eastAsia"/>
        </w:rPr>
        <w:t>由于额尔古纳市内湿地敏感区较多，上游取水后将对湿地生态系统产生影响。在下个阶段应论证对湿地的影响，</w:t>
      </w:r>
      <w:r>
        <w:t>加强</w:t>
      </w:r>
      <w:r>
        <w:rPr>
          <w:rFonts w:hint="eastAsia"/>
        </w:rPr>
        <w:t>对</w:t>
      </w:r>
      <w:r>
        <w:t>湿生生物保护、恢复湿</w:t>
      </w:r>
      <w:r>
        <w:rPr>
          <w:rFonts w:hint="eastAsia"/>
        </w:rPr>
        <w:t>地</w:t>
      </w:r>
      <w:r>
        <w:t>生态生境</w:t>
      </w:r>
      <w:r>
        <w:rPr>
          <w:rFonts w:hint="eastAsia"/>
        </w:rPr>
        <w:t>，对不利环境影响予以减免、减缓或补偿，保证湿地面积不萎缩、功能不下降。</w:t>
      </w:r>
    </w:p>
    <w:p w14:paraId="333B9EEA">
      <w:pPr>
        <w:pStyle w:val="34"/>
      </w:pPr>
      <w:bookmarkStart w:id="200" w:name="_Toc216964790"/>
      <w:bookmarkStart w:id="201" w:name="_Toc177710279"/>
      <w:r>
        <w:rPr>
          <w:rFonts w:hint="eastAsia"/>
        </w:rPr>
        <w:t>（五）规划合理性分析和优化调整建议</w:t>
      </w:r>
      <w:bookmarkEnd w:id="200"/>
      <w:bookmarkEnd w:id="201"/>
    </w:p>
    <w:p w14:paraId="7821E74D">
      <w:pPr>
        <w:pStyle w:val="82"/>
        <w:ind w:firstLine="648"/>
      </w:pPr>
      <w:r>
        <w:rPr>
          <w:rFonts w:hint="eastAsia"/>
        </w:rPr>
        <w:t>本规划包括水资源配置、灌溉、防洪、水环境水生态、水文化水景观等内容。从长期来看，规划对水环境、生态环境均产生积极影响，不利影响主要集中在规划实施阶段，可通过采取对应措施进行应对，将不利影响降至最低。</w:t>
      </w:r>
    </w:p>
    <w:p w14:paraId="0179D48F">
      <w:pPr>
        <w:pStyle w:val="64"/>
      </w:pPr>
      <w:r>
        <w:rPr>
          <w:rFonts w:hint="eastAsia"/>
        </w:rPr>
        <w:t>1. 规划布局的环境合理性分析</w:t>
      </w:r>
    </w:p>
    <w:p w14:paraId="14797EFD">
      <w:pPr>
        <w:pStyle w:val="82"/>
        <w:ind w:firstLine="648"/>
      </w:pPr>
      <w:r>
        <w:rPr>
          <w:rFonts w:hint="eastAsia"/>
        </w:rPr>
        <w:t>本规划从额尔古纳市主体功能定位和国土空间布局要求出发，包含防洪减灾、水资源配置、水生态治理、水环境治理、数字孪生水网、水网管理等工程，力求打造美丽额尔古纳。规划为骨干河湖生态廊道规划布局，布局时充分考虑了额尔古纳市的环境现状问题和经济条件，根据不同分区制定相应的专项规划方案，对改善额尔古纳市水生态环境，提升水环境质量具有积极影响。根据《生态保护红线生态环境监督办法（试行）》第七条：“生态保护红线内，自然保护地核心保护区原则上禁止人为活动，其他区域严格禁止开发性、生产性建设活动，在符合现行法律法规前提下，除国家重大战略项目外，仅允许对生态功能不造成破坏的有限人为活动。”经初步识别，规划工程涉及生态保护红线，后续工作应优化工程选址，应尽量避让环境敏感区，减少对生态环境的不利影响。</w:t>
      </w:r>
    </w:p>
    <w:p w14:paraId="59665BAF">
      <w:pPr>
        <w:pStyle w:val="64"/>
      </w:pPr>
      <w:r>
        <w:rPr>
          <w:rFonts w:hint="eastAsia"/>
        </w:rPr>
        <w:t>2. 规划规模的环境合理性分析</w:t>
      </w:r>
    </w:p>
    <w:p w14:paraId="3D92DF9C">
      <w:pPr>
        <w:pStyle w:val="82"/>
        <w:ind w:firstLine="648"/>
      </w:pPr>
      <w:r>
        <w:rPr>
          <w:rFonts w:hint="eastAsia"/>
        </w:rPr>
        <w:t>本次水网规划主要包括水资源配置体系、防洪减灾体系、水生态保护治理与价值转换体系、数字孪生水网体系等内容。</w:t>
      </w:r>
    </w:p>
    <w:p w14:paraId="7D6F6AEB">
      <w:pPr>
        <w:pStyle w:val="82"/>
        <w:ind w:firstLine="648"/>
      </w:pPr>
      <w:r>
        <w:rPr>
          <w:rFonts w:hint="eastAsia"/>
        </w:rPr>
        <w:t>额尔古纳市河网发育，河川径流量丰沛，但时空分布不均，水资源开发利用率低，缺少大中型水资源调蓄工程。在部分水体存在水生态受损、水环境风险隐患多的现象。因此规划提出的水生态、水环境治理措施是科学有效的。规划工程中的供水工程可以实现额尔古纳市内源互济、统筹调配的水资源配置格局，规划实施能有效提高对水资源的利用效率和用水安全。因此，规划规模基本合理。</w:t>
      </w:r>
    </w:p>
    <w:p w14:paraId="55CF4F24">
      <w:pPr>
        <w:pStyle w:val="64"/>
      </w:pPr>
      <w:r>
        <w:rPr>
          <w:rFonts w:hint="eastAsia"/>
        </w:rPr>
        <w:t>3. 规划优化调整建议</w:t>
      </w:r>
    </w:p>
    <w:p w14:paraId="6944EF3A">
      <w:pPr>
        <w:pStyle w:val="82"/>
        <w:ind w:firstLine="648"/>
      </w:pPr>
      <w:r>
        <w:rPr>
          <w:rFonts w:hint="eastAsia"/>
        </w:rPr>
        <w:t>（</w:t>
      </w:r>
      <w:r>
        <w:t>1</w:t>
      </w:r>
      <w:r>
        <w:rPr>
          <w:rFonts w:hint="eastAsia"/>
        </w:rPr>
        <w:t>）额尔古纳市自然保护区、湿地公园等环境敏感区分布广泛，经初步识别，规划的水库或涉及生态敏感区。建议下一步识别工程所涉区域，优化工程布局，在规划方案设计时尽量规避主要环境敏感区，规划实施时要进一步识别环境制约因素，加强工程方案优化论证。</w:t>
      </w:r>
    </w:p>
    <w:p w14:paraId="003CE3DF">
      <w:pPr>
        <w:pStyle w:val="82"/>
        <w:ind w:firstLine="648"/>
      </w:pPr>
      <w:r>
        <w:rPr>
          <w:rFonts w:hint="eastAsia"/>
        </w:rPr>
        <w:t>（</w:t>
      </w:r>
      <w:r>
        <w:t>2</w:t>
      </w:r>
      <w:r>
        <w:rPr>
          <w:rFonts w:hint="eastAsia"/>
        </w:rPr>
        <w:t>）合理论证水源工程建设的必要性和环境合理性，并结合防洪、景观等要求进行施工布置、施工时序的优化调整或取消。</w:t>
      </w:r>
    </w:p>
    <w:p w14:paraId="3DD384A1">
      <w:pPr>
        <w:pStyle w:val="82"/>
        <w:ind w:firstLine="648"/>
      </w:pPr>
      <w:r>
        <w:rPr>
          <w:rFonts w:hint="eastAsia"/>
        </w:rPr>
        <w:t>（</w:t>
      </w:r>
      <w:r>
        <w:t>3</w:t>
      </w:r>
      <w:r>
        <w:rPr>
          <w:rFonts w:hint="eastAsia"/>
        </w:rPr>
        <w:t>）对于列入流域规划经过环评论证、符合环评审批程序的水库工程可安排尽快实施，对于其他规划的大中型工程还需进一步深入开展论证工作，确保其环境合理性和必要性。</w:t>
      </w:r>
    </w:p>
    <w:p w14:paraId="67CBD1BA">
      <w:pPr>
        <w:pStyle w:val="34"/>
      </w:pPr>
      <w:bookmarkStart w:id="202" w:name="_Toc216964791"/>
      <w:bookmarkStart w:id="203" w:name="_Toc177710280"/>
      <w:r>
        <w:rPr>
          <w:rFonts w:hint="eastAsia"/>
        </w:rPr>
        <w:t>（六）环境影响减缓对策措施</w:t>
      </w:r>
      <w:bookmarkEnd w:id="202"/>
    </w:p>
    <w:p w14:paraId="13ACFDA5">
      <w:pPr>
        <w:pStyle w:val="64"/>
      </w:pPr>
      <w:r>
        <w:t xml:space="preserve">1. </w:t>
      </w:r>
      <w:r>
        <w:rPr>
          <w:rFonts w:hint="eastAsia"/>
        </w:rPr>
        <w:t>建立水资源与生态保护基础制度</w:t>
      </w:r>
    </w:p>
    <w:p w14:paraId="17E4183E">
      <w:pPr>
        <w:pStyle w:val="82"/>
        <w:tabs>
          <w:tab w:val="left" w:pos="-180"/>
        </w:tabs>
        <w:ind w:firstLine="648"/>
      </w:pPr>
      <w:r>
        <w:rPr>
          <w:rFonts w:hint="eastAsia"/>
        </w:rPr>
        <w:t>加强农业面源管控，加强对散排、乱排现象的监管，提高科学施肥意识，减少农业面源对水体的影响；明确主要河流生态流量要求，制定并执行生态流量保障要求；强化湿地保护与修复，保护和恢复湿地生态系统功能。</w:t>
      </w:r>
    </w:p>
    <w:p w14:paraId="48303797">
      <w:pPr>
        <w:pStyle w:val="64"/>
      </w:pPr>
      <w:r>
        <w:t xml:space="preserve">2. </w:t>
      </w:r>
      <w:r>
        <w:rPr>
          <w:rFonts w:hint="eastAsia"/>
        </w:rPr>
        <w:t>建立生态和环境监测体系，制定跟踪评价计划</w:t>
      </w:r>
    </w:p>
    <w:p w14:paraId="725F1740">
      <w:pPr>
        <w:pStyle w:val="82"/>
        <w:ind w:firstLine="648"/>
      </w:pPr>
      <w:r>
        <w:rPr>
          <w:rFonts w:hint="eastAsia"/>
        </w:rPr>
        <w:t>生态保护是持续性的动态保护，需要建立和完善生态与环境监测体系。根据生态与环境监测体系，对不同专业和工程项目进行系统的环境监测和跟踪评价。根据环境监测结果和跟踪评价结论对规划方案进行优化调整，改进相应措施。</w:t>
      </w:r>
    </w:p>
    <w:p w14:paraId="3CC32B8B">
      <w:pPr>
        <w:pStyle w:val="64"/>
      </w:pPr>
      <w:r>
        <w:rPr>
          <w:rFonts w:hint="eastAsia"/>
        </w:rPr>
        <w:t>3.</w:t>
      </w:r>
      <w:r>
        <w:t xml:space="preserve"> 严格执行建设项目的环境影响评价审批制度</w:t>
      </w:r>
    </w:p>
    <w:p w14:paraId="1996671C">
      <w:pPr>
        <w:pStyle w:val="82"/>
        <w:ind w:firstLine="648"/>
      </w:pPr>
      <w:r>
        <w:rPr>
          <w:rFonts w:hint="eastAsia"/>
        </w:rPr>
        <w:t>本规划内的具体建设项目，须按照《中华人民共和国环境影响评价法》、《建设项目环境保护管理条例》等法律法规，进行建设项目环境影响评价工作，提出切实有效的环境保护措施。</w:t>
      </w:r>
    </w:p>
    <w:p w14:paraId="20EAC032">
      <w:pPr>
        <w:pStyle w:val="64"/>
      </w:pPr>
      <w:r>
        <w:rPr>
          <w:rFonts w:hint="eastAsia"/>
        </w:rPr>
        <w:t>4. 严格环境准入要求和环评审批</w:t>
      </w:r>
    </w:p>
    <w:p w14:paraId="7F72A652">
      <w:pPr>
        <w:pStyle w:val="82"/>
        <w:ind w:firstLine="648"/>
      </w:pPr>
      <w:r>
        <w:rPr>
          <w:rFonts w:hint="eastAsia"/>
        </w:rPr>
        <w:t>在工程设计阶段，严格环境准入要求和环评审批，严禁违规建设；协调上下游乃至整条河流的梯级运行要求和用水要求，保障下游生态用水。</w:t>
      </w:r>
    </w:p>
    <w:p w14:paraId="44FB804B">
      <w:pPr>
        <w:pStyle w:val="64"/>
      </w:pPr>
      <w:r>
        <w:rPr>
          <w:rFonts w:hint="eastAsia"/>
        </w:rPr>
        <w:t>5. 建立政策保障，强化规划约束</w:t>
      </w:r>
    </w:p>
    <w:p w14:paraId="6F46C8AC">
      <w:pPr>
        <w:pStyle w:val="82"/>
        <w:ind w:firstLine="648"/>
      </w:pPr>
      <w:r>
        <w:rPr>
          <w:rFonts w:hint="eastAsia"/>
        </w:rPr>
        <w:t>开展相应的专项规划设计，保障水网规划目标和实施内容的顺利实现。抓紧制定和出台有利于水网建设的各项政策和配套措施，从价格、财政、税收、金融、土地等方面制定优惠和倾斜的经济政策，加快水网建设。</w:t>
      </w:r>
    </w:p>
    <w:bookmarkEnd w:id="203"/>
    <w:p w14:paraId="4BC58B3F">
      <w:pPr>
        <w:pStyle w:val="34"/>
      </w:pPr>
      <w:bookmarkStart w:id="204" w:name="_Toc177710281"/>
      <w:bookmarkStart w:id="205" w:name="_Toc216964792"/>
      <w:r>
        <w:rPr>
          <w:rFonts w:hint="eastAsia"/>
        </w:rPr>
        <w:t>（七）综合评价结论</w:t>
      </w:r>
      <w:bookmarkEnd w:id="204"/>
      <w:bookmarkEnd w:id="205"/>
    </w:p>
    <w:p w14:paraId="28027582">
      <w:pPr>
        <w:pStyle w:val="82"/>
        <w:ind w:firstLine="648"/>
      </w:pPr>
      <w:r>
        <w:rPr>
          <w:rFonts w:hint="eastAsia"/>
        </w:rPr>
        <w:t>额尔古纳市水网规划坚持贯彻</w:t>
      </w:r>
      <w:r>
        <w:t>绿水青山就是金山银山的理念，</w:t>
      </w:r>
      <w:r>
        <w:rPr>
          <w:rFonts w:hint="eastAsia"/>
        </w:rPr>
        <w:t>充分结合额尔古纳市自然环境特点、经济社会发展需要和环境保护要求，制定环境保护对策，最大限度降低规划实施对生态环境带来的不利影响，有利于推动绿色发展，促进人与自然和谐共生。</w:t>
      </w:r>
    </w:p>
    <w:p w14:paraId="084DCD38">
      <w:pPr>
        <w:pStyle w:val="82"/>
        <w:ind w:firstLine="648"/>
      </w:pPr>
      <w:r>
        <w:rPr>
          <w:rFonts w:hint="eastAsia"/>
        </w:rPr>
        <w:t>规划实施后，有利于提高额尔古纳市灌溉用水保障；有利于水生态环境质量全面提升；有利于全面提高额尔古纳市防洪能力，筑牢防汛安全屏障；有利于治理和控制水土流失问题，改善生态环境。规划方案的实施不会对环境产生较大不利影响，规划方案基本可行。</w:t>
      </w:r>
    </w:p>
    <w:p w14:paraId="1C268E23">
      <w:pPr>
        <w:pStyle w:val="82"/>
        <w:ind w:firstLine="648"/>
      </w:pPr>
      <w:r>
        <w:rPr>
          <w:rFonts w:hint="eastAsia"/>
        </w:rPr>
        <w:t>由于工程布局涉及到占用生态保护红线和环境敏感区的问题，在后续的规划中需要严格执行敏感区管理规定，履行敏感区占用手续后方可建设。</w:t>
      </w:r>
    </w:p>
    <w:p w14:paraId="6545EC3D">
      <w:pPr>
        <w:pStyle w:val="33"/>
        <w:rPr>
          <w:rFonts w:hint="eastAsia"/>
        </w:rPr>
        <w:sectPr>
          <w:pgSz w:w="11906" w:h="16838"/>
          <w:pgMar w:top="1418" w:right="1418" w:bottom="1418" w:left="1418" w:header="851" w:footer="992" w:gutter="0"/>
          <w:cols w:space="425" w:num="1"/>
          <w:docGrid w:type="lines" w:linePitch="312" w:charSpace="0"/>
        </w:sectPr>
      </w:pPr>
      <w:bookmarkStart w:id="206" w:name="_Toc175063587"/>
    </w:p>
    <w:p w14:paraId="4E0CB358">
      <w:pPr>
        <w:pStyle w:val="208"/>
        <w:rPr>
          <w:rFonts w:hint="eastAsia"/>
        </w:rPr>
      </w:pPr>
      <w:bookmarkStart w:id="207" w:name="_Toc216964793"/>
      <w:r>
        <w:rPr>
          <w:rFonts w:hint="eastAsia"/>
        </w:rPr>
        <w:t>十一、保障措施与实施效果评价</w:t>
      </w:r>
      <w:bookmarkEnd w:id="207"/>
    </w:p>
    <w:p w14:paraId="7C5F4EF7">
      <w:pPr>
        <w:pStyle w:val="34"/>
      </w:pPr>
      <w:bookmarkStart w:id="208" w:name="_Toc216964794"/>
      <w:bookmarkStart w:id="209" w:name="_Toc10806"/>
      <w:bookmarkStart w:id="210" w:name="_Toc155172954"/>
      <w:bookmarkStart w:id="211" w:name="_Toc25284"/>
      <w:bookmarkStart w:id="212" w:name="_Toc18038"/>
      <w:bookmarkStart w:id="213" w:name="_Toc160716828"/>
      <w:bookmarkStart w:id="214" w:name="_Toc3521"/>
      <w:bookmarkStart w:id="215" w:name="_Toc7501"/>
      <w:bookmarkStart w:id="216" w:name="_Toc154651156"/>
      <w:bookmarkStart w:id="217" w:name="_Toc164320518"/>
      <w:bookmarkStart w:id="218" w:name="_Toc29742"/>
      <w:bookmarkStart w:id="219" w:name="_Toc10891"/>
      <w:bookmarkStart w:id="220" w:name="_Toc15357"/>
      <w:bookmarkStart w:id="221" w:name="_Toc23644"/>
      <w:r>
        <w:rPr>
          <w:rFonts w:hint="eastAsia"/>
        </w:rPr>
        <w:t>（一）保障措施</w:t>
      </w:r>
      <w:bookmarkEnd w:id="208"/>
    </w:p>
    <w:p w14:paraId="5D3153B3">
      <w:pPr>
        <w:pStyle w:val="64"/>
      </w:pPr>
      <w:r>
        <w:rPr>
          <w:rFonts w:hint="eastAsia"/>
        </w:rPr>
        <w:t>1</w:t>
      </w:r>
      <w:r>
        <w:t xml:space="preserve">. </w:t>
      </w:r>
      <w:r>
        <w:rPr>
          <w:rFonts w:hint="eastAsia"/>
        </w:rPr>
        <w:t>加强组织领导</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7E2AE224">
      <w:pPr>
        <w:pStyle w:val="82"/>
        <w:ind w:firstLine="648"/>
      </w:pPr>
      <w:r>
        <w:rPr>
          <w:rFonts w:hint="eastAsia"/>
        </w:rPr>
        <w:t>坚定不移地落实党中央国务院、内蒙古自治区区委区政府、呼伦贝尔市市委市政府及额尔古纳市市委市政府关于水网建设的指示精神，</w:t>
      </w:r>
      <w:bookmarkStart w:id="222" w:name="_Hlk204691041"/>
      <w:r>
        <w:rPr>
          <w:rFonts w:hint="eastAsia"/>
        </w:rPr>
        <w:t>以额尔古纳市人民政府为主导，强化其水网建设工作责任，充分发挥党总揽全局、</w:t>
      </w:r>
      <w:bookmarkEnd w:id="222"/>
      <w:r>
        <w:rPr>
          <w:rFonts w:hint="eastAsia"/>
        </w:rPr>
        <w:t>协调各方的核心作用，把党的领导贯穿到额尔古纳市水网建设全过程。统筹做好与发改、财政、自然资源、生态环境、住建等相关部门单位的协调沟通与衔接，及时研究、解决额尔古纳市水网建设中的重大问题。建立组织保障体系，全力推进水网建设。</w:t>
      </w:r>
    </w:p>
    <w:p w14:paraId="2F059880">
      <w:pPr>
        <w:pStyle w:val="64"/>
      </w:pPr>
      <w:bookmarkStart w:id="223" w:name="_Toc7529"/>
      <w:bookmarkStart w:id="224" w:name="_Toc10108"/>
      <w:bookmarkStart w:id="225" w:name="_Toc29167"/>
      <w:bookmarkStart w:id="226" w:name="_Toc160716829"/>
      <w:bookmarkStart w:id="227" w:name="_Toc31179"/>
      <w:bookmarkStart w:id="228" w:name="_Toc2390"/>
      <w:bookmarkStart w:id="229" w:name="_Toc164320519"/>
      <w:bookmarkStart w:id="230" w:name="_Toc154651157"/>
      <w:bookmarkStart w:id="231" w:name="_Toc5794"/>
      <w:bookmarkStart w:id="232" w:name="_Toc29704"/>
      <w:bookmarkStart w:id="233" w:name="_Toc20842"/>
      <w:bookmarkStart w:id="234" w:name="_Toc9983"/>
      <w:bookmarkStart w:id="235" w:name="_Toc155172955"/>
      <w:r>
        <w:rPr>
          <w:rFonts w:hint="eastAsia"/>
        </w:rPr>
        <w:t>2.</w:t>
      </w:r>
      <w:r>
        <w:t xml:space="preserve"> </w:t>
      </w:r>
      <w:r>
        <w:rPr>
          <w:rFonts w:hint="eastAsia"/>
        </w:rPr>
        <w:t>深化前期工作</w:t>
      </w:r>
    </w:p>
    <w:p w14:paraId="0A777CC2">
      <w:pPr>
        <w:pStyle w:val="82"/>
        <w:ind w:firstLine="648"/>
      </w:pPr>
      <w:r>
        <w:rPr>
          <w:rFonts w:hint="eastAsia"/>
        </w:rPr>
        <w:t>压茬推进各项目前期工作，深入做好规划方案比选论证，抓好项目环评、用地预审、规划选址等要件办理，协调解决移民征地中的重大问题，加强项目前期工作进展跟踪管理，积极落实建设条件，推动多开早建。建立项目前期工作责任制，严格执行工程建设有关强制性标准和规程规范，确保项目前期工作质量和深度。继续推进“放管服”改革，加快项目审批核准进度，强化监管，提高效率。</w:t>
      </w:r>
    </w:p>
    <w:p w14:paraId="254D73AF">
      <w:pPr>
        <w:pStyle w:val="64"/>
      </w:pPr>
      <w:r>
        <w:rPr>
          <w:rFonts w:hint="eastAsia"/>
        </w:rPr>
        <w:t>3. 加大资金投入</w:t>
      </w:r>
      <w:bookmarkEnd w:id="223"/>
      <w:bookmarkEnd w:id="224"/>
      <w:bookmarkEnd w:id="225"/>
      <w:bookmarkEnd w:id="226"/>
      <w:bookmarkEnd w:id="227"/>
      <w:bookmarkEnd w:id="228"/>
      <w:bookmarkEnd w:id="229"/>
      <w:bookmarkEnd w:id="230"/>
      <w:bookmarkEnd w:id="231"/>
      <w:bookmarkEnd w:id="232"/>
      <w:bookmarkEnd w:id="233"/>
      <w:bookmarkEnd w:id="234"/>
      <w:bookmarkEnd w:id="235"/>
    </w:p>
    <w:p w14:paraId="3D8E4197">
      <w:pPr>
        <w:pStyle w:val="82"/>
        <w:ind w:firstLine="648"/>
      </w:pPr>
      <w:r>
        <w:rPr>
          <w:rFonts w:hint="eastAsia"/>
        </w:rPr>
        <w:t>按照中央、自治区、地市事权和支出责任划分要求，加大资金筹措力度，多渠道筹集地方配套资金，充分发挥地方财政对水利工程建设投资的主渠道引导作用，落实中央支持水利金融政策和超长期特别国债，充分发挥市场机制作用，鼓励社会资本参与水利建设，建立长期稳定的水利建设投入机制。优化水利建设投资结构，充实重大项目储备。</w:t>
      </w:r>
    </w:p>
    <w:bookmarkEnd w:id="206"/>
    <w:p w14:paraId="1557CB55">
      <w:pPr>
        <w:pStyle w:val="64"/>
      </w:pPr>
      <w:bookmarkStart w:id="236" w:name="_Toc175063591"/>
      <w:r>
        <w:rPr>
          <w:rFonts w:hint="eastAsia"/>
        </w:rPr>
        <w:t>4</w:t>
      </w:r>
      <w:r>
        <w:t xml:space="preserve">. </w:t>
      </w:r>
      <w:r>
        <w:rPr>
          <w:rFonts w:hint="eastAsia"/>
        </w:rPr>
        <w:t>强化科技支撑</w:t>
      </w:r>
      <w:bookmarkEnd w:id="236"/>
    </w:p>
    <w:p w14:paraId="47A9035A">
      <w:pPr>
        <w:pStyle w:val="82"/>
        <w:ind w:firstLine="648"/>
      </w:pPr>
      <w:r>
        <w:rPr>
          <w:rFonts w:hint="eastAsia"/>
        </w:rPr>
        <w:t>以额尔古纳市水网建设需求为导向，围绕数字孪生流域、智慧化灌区、雨洪资源利用等方面积极开展水网建设重大问题研究和关键技术攻关。加强先进实用技术推广应用，加大建筑信息模型（BIM）技术、遥感技术、人工智能等在水网建设管理中的应用力度。加强科技人才和团队培养，多方开辟渠道，逐步建立稳定的科技经费投入和科技成果转化机制。</w:t>
      </w:r>
    </w:p>
    <w:p w14:paraId="36BABBCE">
      <w:pPr>
        <w:pStyle w:val="34"/>
        <w:rPr>
          <w:rFonts w:eastAsia="楷体"/>
          <w:bCs/>
          <w:szCs w:val="32"/>
          <w:lang w:val="zh-CN"/>
        </w:rPr>
      </w:pPr>
      <w:bookmarkStart w:id="237" w:name="_Toc186365410"/>
      <w:bookmarkStart w:id="238" w:name="_Toc216964795"/>
      <w:r>
        <w:rPr>
          <w:rFonts w:hint="eastAsia" w:eastAsia="楷体"/>
          <w:bCs/>
          <w:szCs w:val="32"/>
          <w:lang w:val="zh-CN"/>
        </w:rPr>
        <w:t>（二）实施效果评价</w:t>
      </w:r>
      <w:bookmarkEnd w:id="237"/>
      <w:bookmarkEnd w:id="238"/>
    </w:p>
    <w:p w14:paraId="35260260">
      <w:pPr>
        <w:pStyle w:val="82"/>
        <w:ind w:firstLine="648"/>
      </w:pPr>
      <w:r>
        <w:rPr>
          <w:rFonts w:hint="eastAsia"/>
        </w:rPr>
        <w:t>通过规划的实施，完善安全可靠的防洪</w:t>
      </w:r>
      <w:r>
        <w:t>排涝网</w:t>
      </w:r>
      <w:r>
        <w:rPr>
          <w:rFonts w:hint="eastAsia"/>
        </w:rPr>
        <w:t>、建设集约节约的城乡</w:t>
      </w:r>
      <w:r>
        <w:t>供水网</w:t>
      </w:r>
      <w:r>
        <w:rPr>
          <w:rFonts w:hint="eastAsia"/>
        </w:rPr>
        <w:t>、构筑灌溉</w:t>
      </w:r>
      <w:r>
        <w:t>通畅</w:t>
      </w:r>
      <w:r>
        <w:rPr>
          <w:rFonts w:hint="eastAsia"/>
        </w:rPr>
        <w:t>的灌溉</w:t>
      </w:r>
      <w:r>
        <w:t>排水网</w:t>
      </w:r>
      <w:r>
        <w:rPr>
          <w:rFonts w:hint="eastAsia"/>
        </w:rPr>
        <w:t>、打造持续健康的河湖</w:t>
      </w:r>
      <w:r>
        <w:t>生态保护网</w:t>
      </w:r>
      <w:r>
        <w:rPr>
          <w:rFonts w:hint="eastAsia"/>
        </w:rPr>
        <w:t>、建成的数字</w:t>
      </w:r>
      <w:r>
        <w:t>孪生水网、</w:t>
      </w:r>
      <w:r>
        <w:rPr>
          <w:rFonts w:hint="eastAsia"/>
        </w:rPr>
        <w:t>建设现代高效水治理体系，建成“系统完备、安全可靠，集约高效、绿色智能，循环通畅、调控有序”的现代水网。规划的实施，将有力支撑额尔古纳市经济社会高质量发展，具有较好的经济、社会和生态环境效益。</w:t>
      </w:r>
    </w:p>
    <w:p w14:paraId="35B2CE54">
      <w:pPr>
        <w:pStyle w:val="64"/>
      </w:pPr>
      <w:r>
        <w:rPr>
          <w:rFonts w:hint="eastAsia"/>
        </w:rPr>
        <w:t>1</w:t>
      </w:r>
      <w:r>
        <w:t xml:space="preserve">. </w:t>
      </w:r>
      <w:r>
        <w:rPr>
          <w:rFonts w:hint="eastAsia"/>
        </w:rPr>
        <w:t>社会经济效益</w:t>
      </w:r>
    </w:p>
    <w:p w14:paraId="292C0F8D">
      <w:pPr>
        <w:pStyle w:val="82"/>
        <w:ind w:firstLine="648"/>
      </w:pPr>
      <w:r>
        <w:rPr>
          <w:rFonts w:hint="eastAsia"/>
        </w:rPr>
        <w:t>规划实施后，将实现供水、灌溉、防洪等多方面的社会经济效益，新增供水能力大于</w:t>
      </w:r>
      <w:r>
        <w:t>0.6</w:t>
      </w:r>
      <w:r>
        <w:rPr>
          <w:rFonts w:hint="eastAsia"/>
        </w:rPr>
        <w:t>亿m</w:t>
      </w:r>
      <w:r>
        <w:rPr>
          <w:rFonts w:hint="eastAsia"/>
          <w:vertAlign w:val="superscript"/>
        </w:rPr>
        <w:t>3</w:t>
      </w:r>
      <w:r>
        <w:rPr>
          <w:rFonts w:hint="eastAsia"/>
        </w:rPr>
        <w:t>，规模化</w:t>
      </w:r>
      <w:r>
        <w:t>供水人口覆盖率达到90%</w:t>
      </w:r>
      <w:r>
        <w:rPr>
          <w:rFonts w:hint="eastAsia"/>
        </w:rPr>
        <w:t>，农田灌溉水有效利用系数由0.</w:t>
      </w:r>
      <w:r>
        <w:t>628</w:t>
      </w:r>
      <w:r>
        <w:rPr>
          <w:rFonts w:hint="eastAsia"/>
        </w:rPr>
        <w:t>提高到0.6</w:t>
      </w:r>
      <w:r>
        <w:t>37</w:t>
      </w:r>
      <w:r>
        <w:rPr>
          <w:rFonts w:hint="eastAsia"/>
        </w:rPr>
        <w:t>；堤防达标率从</w:t>
      </w:r>
      <w:r>
        <w:t>96.8</w:t>
      </w:r>
      <w:r>
        <w:rPr>
          <w:rFonts w:hint="eastAsia"/>
        </w:rPr>
        <w:t>%提升至</w:t>
      </w:r>
      <w:r>
        <w:t>100</w:t>
      </w:r>
      <w:r>
        <w:rPr>
          <w:rFonts w:hint="eastAsia"/>
        </w:rPr>
        <w:t>%，山洪灾害防治能力显著提高；进一步减少洪涝灾害造成的人民生命财产损失和公共基础设施的财产损失，对促进经济稳定发展与社会安定具有重要的作用。</w:t>
      </w:r>
    </w:p>
    <w:p w14:paraId="5D05A05C">
      <w:pPr>
        <w:pStyle w:val="64"/>
      </w:pPr>
      <w:r>
        <w:rPr>
          <w:rFonts w:hint="eastAsia"/>
        </w:rPr>
        <w:t>2</w:t>
      </w:r>
      <w:r>
        <w:t xml:space="preserve">. </w:t>
      </w:r>
      <w:r>
        <w:rPr>
          <w:rFonts w:hint="eastAsia"/>
        </w:rPr>
        <w:t>生态效益</w:t>
      </w:r>
    </w:p>
    <w:p w14:paraId="09ECE85F">
      <w:pPr>
        <w:pStyle w:val="82"/>
        <w:ind w:firstLine="648"/>
      </w:pPr>
      <w:r>
        <w:rPr>
          <w:rFonts w:hint="eastAsia"/>
        </w:rPr>
        <w:t>规划实施后，重要河湖控制断面生态流量达标率提高到9</w:t>
      </w:r>
      <w:r>
        <w:t>0</w:t>
      </w:r>
      <w:r>
        <w:rPr>
          <w:rFonts w:hint="eastAsia"/>
        </w:rPr>
        <w:t>%，河湖水生态环境得到全面修复，水土流失得到基本控制，水土保持率达到</w:t>
      </w:r>
      <w:r>
        <w:t>98.64</w:t>
      </w:r>
      <w:r>
        <w:rPr>
          <w:rFonts w:hint="eastAsia"/>
        </w:rPr>
        <w:t>%，水源涵养能力显著提高，人民群众对于人水和谐的生态环境的需要得到满足。</w:t>
      </w: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等线">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Noto Sans CJK JP Bold">
    <w:panose1 w:val="020B0800000000000000"/>
    <w:charset w:val="86"/>
    <w:family w:val="auto"/>
    <w:pitch w:val="default"/>
    <w:sig w:usb0="30000003" w:usb1="2BDF3C10" w:usb2="00000016" w:usb3="00000000" w:csb0="602E0107" w:csb1="0000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5500030F">
        <w:pPr>
          <w:pStyle w:val="14"/>
          <w:ind w:firstLine="480"/>
          <w:jc w:val="cente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5576700"/>
    </w:sdtPr>
    <w:sdtEndPr>
      <w:rPr>
        <w:sz w:val="21"/>
        <w:szCs w:val="21"/>
      </w:rPr>
    </w:sdtEndPr>
    <w:sdtContent>
      <w:p w14:paraId="7E7639CA">
        <w:pPr>
          <w:pStyle w:val="14"/>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IV</w:t>
        </w:r>
        <w:r>
          <w:rPr>
            <w:sz w:val="21"/>
            <w:szCs w:val="21"/>
            <w:lang w:val="zh-C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567898"/>
      <w:docPartObj>
        <w:docPartGallery w:val="autotext"/>
      </w:docPartObj>
    </w:sdtPr>
    <w:sdtContent>
      <w:p w14:paraId="43F2EB17">
        <w:pPr>
          <w:pStyle w:val="14"/>
          <w:jc w:val="center"/>
        </w:pPr>
        <w:r>
          <w:fldChar w:fldCharType="begin"/>
        </w:r>
        <w:r>
          <w:instrText xml:space="preserve">PAGE   \* MERGEFORMAT</w:instrText>
        </w:r>
        <w:r>
          <w:fldChar w:fldCharType="separate"/>
        </w:r>
        <w:r>
          <w:rPr>
            <w:lang w:val="zh-CN"/>
          </w:rPr>
          <w:t>26</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4671437"/>
      <w:docPartObj>
        <w:docPartGallery w:val="autotext"/>
      </w:docPartObj>
    </w:sdtPr>
    <w:sdtContent>
      <w:p w14:paraId="77A7DA3B">
        <w:pPr>
          <w:pStyle w:val="14"/>
          <w:jc w:val="cente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86F8A">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B24C3">
    <w:pPr>
      <w:pStyle w:val="15"/>
      <w:rPr>
        <w:sz w:val="24"/>
        <w:szCs w:val="24"/>
      </w:rPr>
    </w:pPr>
    <w:r>
      <w:rPr>
        <w:rFonts w:hint="eastAsia"/>
        <w:sz w:val="24"/>
        <w:szCs w:val="24"/>
      </w:rPr>
      <w:t>额尔古纳市水网建设规划</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AF690A"/>
    <w:multiLevelType w:val="multilevel"/>
    <w:tmpl w:val="1DAF690A"/>
    <w:lvl w:ilvl="0" w:tentative="0">
      <w:start w:val="1"/>
      <w:numFmt w:val="decimal"/>
      <w:pStyle w:val="4"/>
      <w:suff w:val="space"/>
      <w:lvlText w:val="%1、"/>
      <w:lvlJc w:val="left"/>
      <w:pPr>
        <w:ind w:left="620" w:hanging="420"/>
      </w:pPr>
      <w:rPr>
        <w:rFonts w:hint="eastAsia"/>
        <w:snapToGrid/>
        <w:spacing w:val="-10"/>
        <w:kern w:val="2"/>
      </w:rPr>
    </w:lvl>
    <w:lvl w:ilvl="1" w:tentative="0">
      <w:start w:val="1"/>
      <w:numFmt w:val="decimalEnclosedCircle"/>
      <w:lvlText w:val="%2"/>
      <w:lvlJc w:val="left"/>
      <w:pPr>
        <w:ind w:left="980" w:hanging="360"/>
      </w:pPr>
      <w:rPr>
        <w:rFonts w:hint="default" w:ascii="楷体" w:hAnsi="楷体" w:eastAsia="楷体"/>
      </w:r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0"/>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xNzI5ZDlmNTZkZWMwODg1NjNhNjkzZmIyMjU3MzMifQ=="/>
  </w:docVars>
  <w:rsids>
    <w:rsidRoot w:val="00563E11"/>
    <w:rsid w:val="000013AE"/>
    <w:rsid w:val="00002CCD"/>
    <w:rsid w:val="00003E64"/>
    <w:rsid w:val="00004D39"/>
    <w:rsid w:val="000059D2"/>
    <w:rsid w:val="00007136"/>
    <w:rsid w:val="00007243"/>
    <w:rsid w:val="00007369"/>
    <w:rsid w:val="000102B3"/>
    <w:rsid w:val="0001041D"/>
    <w:rsid w:val="00010574"/>
    <w:rsid w:val="00010D91"/>
    <w:rsid w:val="000114B5"/>
    <w:rsid w:val="000139F3"/>
    <w:rsid w:val="00014BEC"/>
    <w:rsid w:val="00014FA2"/>
    <w:rsid w:val="000170B8"/>
    <w:rsid w:val="00020299"/>
    <w:rsid w:val="00021A51"/>
    <w:rsid w:val="00025317"/>
    <w:rsid w:val="00026E77"/>
    <w:rsid w:val="00031E77"/>
    <w:rsid w:val="00031F0E"/>
    <w:rsid w:val="00034FBA"/>
    <w:rsid w:val="00035241"/>
    <w:rsid w:val="00043F27"/>
    <w:rsid w:val="00044960"/>
    <w:rsid w:val="00045587"/>
    <w:rsid w:val="000510B1"/>
    <w:rsid w:val="00052FB9"/>
    <w:rsid w:val="0005359A"/>
    <w:rsid w:val="00055B35"/>
    <w:rsid w:val="00057755"/>
    <w:rsid w:val="00065736"/>
    <w:rsid w:val="000658BE"/>
    <w:rsid w:val="00066D61"/>
    <w:rsid w:val="0007135E"/>
    <w:rsid w:val="00074EFF"/>
    <w:rsid w:val="00081505"/>
    <w:rsid w:val="0008288A"/>
    <w:rsid w:val="00086732"/>
    <w:rsid w:val="00086B42"/>
    <w:rsid w:val="0008752F"/>
    <w:rsid w:val="000902C5"/>
    <w:rsid w:val="00093124"/>
    <w:rsid w:val="000936FD"/>
    <w:rsid w:val="00096490"/>
    <w:rsid w:val="000979D0"/>
    <w:rsid w:val="000A1DAB"/>
    <w:rsid w:val="000A30B4"/>
    <w:rsid w:val="000A3A41"/>
    <w:rsid w:val="000A4BE4"/>
    <w:rsid w:val="000B1AE5"/>
    <w:rsid w:val="000B2D1B"/>
    <w:rsid w:val="000B35D4"/>
    <w:rsid w:val="000B40CE"/>
    <w:rsid w:val="000B5C34"/>
    <w:rsid w:val="000B5D6A"/>
    <w:rsid w:val="000B69DB"/>
    <w:rsid w:val="000C033F"/>
    <w:rsid w:val="000C23D7"/>
    <w:rsid w:val="000C3892"/>
    <w:rsid w:val="000C56BF"/>
    <w:rsid w:val="000C686F"/>
    <w:rsid w:val="000C6FE7"/>
    <w:rsid w:val="000D1A0E"/>
    <w:rsid w:val="000D48F0"/>
    <w:rsid w:val="000D7855"/>
    <w:rsid w:val="000E4145"/>
    <w:rsid w:val="000E4DA0"/>
    <w:rsid w:val="000E4DB2"/>
    <w:rsid w:val="000E4DCF"/>
    <w:rsid w:val="000E5725"/>
    <w:rsid w:val="000F0CD2"/>
    <w:rsid w:val="000F1CE3"/>
    <w:rsid w:val="000F346E"/>
    <w:rsid w:val="000F6EB6"/>
    <w:rsid w:val="000F73EE"/>
    <w:rsid w:val="000F7DC9"/>
    <w:rsid w:val="001001B8"/>
    <w:rsid w:val="001003CB"/>
    <w:rsid w:val="001003F3"/>
    <w:rsid w:val="00101450"/>
    <w:rsid w:val="0010166D"/>
    <w:rsid w:val="00101901"/>
    <w:rsid w:val="00102ADF"/>
    <w:rsid w:val="00105AF8"/>
    <w:rsid w:val="00105D27"/>
    <w:rsid w:val="001074EB"/>
    <w:rsid w:val="00110853"/>
    <w:rsid w:val="00111720"/>
    <w:rsid w:val="00111AC2"/>
    <w:rsid w:val="00111EC6"/>
    <w:rsid w:val="001120DE"/>
    <w:rsid w:val="001144E2"/>
    <w:rsid w:val="001152FE"/>
    <w:rsid w:val="00124F81"/>
    <w:rsid w:val="0012778C"/>
    <w:rsid w:val="00127FB5"/>
    <w:rsid w:val="001339DC"/>
    <w:rsid w:val="00134282"/>
    <w:rsid w:val="00134973"/>
    <w:rsid w:val="00141113"/>
    <w:rsid w:val="00141128"/>
    <w:rsid w:val="00141161"/>
    <w:rsid w:val="001411BD"/>
    <w:rsid w:val="001428E5"/>
    <w:rsid w:val="00142C50"/>
    <w:rsid w:val="00144EEB"/>
    <w:rsid w:val="0014797F"/>
    <w:rsid w:val="001528AB"/>
    <w:rsid w:val="00153505"/>
    <w:rsid w:val="00155A00"/>
    <w:rsid w:val="00156D4C"/>
    <w:rsid w:val="00162CC7"/>
    <w:rsid w:val="0016332C"/>
    <w:rsid w:val="00167294"/>
    <w:rsid w:val="00171428"/>
    <w:rsid w:val="00172FB3"/>
    <w:rsid w:val="0017334D"/>
    <w:rsid w:val="00174584"/>
    <w:rsid w:val="00174DF2"/>
    <w:rsid w:val="00175552"/>
    <w:rsid w:val="00176372"/>
    <w:rsid w:val="00180CA5"/>
    <w:rsid w:val="0018187A"/>
    <w:rsid w:val="0018246D"/>
    <w:rsid w:val="0018550F"/>
    <w:rsid w:val="0018554A"/>
    <w:rsid w:val="00192033"/>
    <w:rsid w:val="001922B9"/>
    <w:rsid w:val="00193131"/>
    <w:rsid w:val="00194C30"/>
    <w:rsid w:val="00194E1B"/>
    <w:rsid w:val="00194E89"/>
    <w:rsid w:val="0019553D"/>
    <w:rsid w:val="00196AD2"/>
    <w:rsid w:val="00196D30"/>
    <w:rsid w:val="00197410"/>
    <w:rsid w:val="00197D3B"/>
    <w:rsid w:val="001A361C"/>
    <w:rsid w:val="001A3E2B"/>
    <w:rsid w:val="001A4A28"/>
    <w:rsid w:val="001A59EC"/>
    <w:rsid w:val="001A5CC4"/>
    <w:rsid w:val="001A604F"/>
    <w:rsid w:val="001B124F"/>
    <w:rsid w:val="001B20D4"/>
    <w:rsid w:val="001B29AB"/>
    <w:rsid w:val="001B33B4"/>
    <w:rsid w:val="001B62AE"/>
    <w:rsid w:val="001B7695"/>
    <w:rsid w:val="001C0694"/>
    <w:rsid w:val="001C1374"/>
    <w:rsid w:val="001C191D"/>
    <w:rsid w:val="001C1AAC"/>
    <w:rsid w:val="001C3EE2"/>
    <w:rsid w:val="001C3F9E"/>
    <w:rsid w:val="001C53DA"/>
    <w:rsid w:val="001C5FD5"/>
    <w:rsid w:val="001D163E"/>
    <w:rsid w:val="001D346F"/>
    <w:rsid w:val="001D3EA9"/>
    <w:rsid w:val="001D4A12"/>
    <w:rsid w:val="001D51D0"/>
    <w:rsid w:val="001E0F21"/>
    <w:rsid w:val="001E112F"/>
    <w:rsid w:val="001E13F9"/>
    <w:rsid w:val="001E1448"/>
    <w:rsid w:val="001E1564"/>
    <w:rsid w:val="001E2711"/>
    <w:rsid w:val="001E3D5A"/>
    <w:rsid w:val="001E45CA"/>
    <w:rsid w:val="001E4F5D"/>
    <w:rsid w:val="001E5A60"/>
    <w:rsid w:val="001E5AEC"/>
    <w:rsid w:val="001E69B0"/>
    <w:rsid w:val="001E7517"/>
    <w:rsid w:val="001E786C"/>
    <w:rsid w:val="001E7CBC"/>
    <w:rsid w:val="001F0275"/>
    <w:rsid w:val="001F04B1"/>
    <w:rsid w:val="001F09F6"/>
    <w:rsid w:val="001F1787"/>
    <w:rsid w:val="001F2DEC"/>
    <w:rsid w:val="001F44C6"/>
    <w:rsid w:val="001F4ADA"/>
    <w:rsid w:val="001F4AE6"/>
    <w:rsid w:val="001F5851"/>
    <w:rsid w:val="001F5D6E"/>
    <w:rsid w:val="001F756B"/>
    <w:rsid w:val="001F789E"/>
    <w:rsid w:val="00200649"/>
    <w:rsid w:val="002066AB"/>
    <w:rsid w:val="00206DFE"/>
    <w:rsid w:val="002073FE"/>
    <w:rsid w:val="002105E6"/>
    <w:rsid w:val="0021323E"/>
    <w:rsid w:val="00215B26"/>
    <w:rsid w:val="00215F9A"/>
    <w:rsid w:val="00216EC3"/>
    <w:rsid w:val="00217C19"/>
    <w:rsid w:val="00220043"/>
    <w:rsid w:val="0022285A"/>
    <w:rsid w:val="002249CF"/>
    <w:rsid w:val="00224FA2"/>
    <w:rsid w:val="00225C2B"/>
    <w:rsid w:val="00227B6C"/>
    <w:rsid w:val="00231A76"/>
    <w:rsid w:val="002334EA"/>
    <w:rsid w:val="00233F89"/>
    <w:rsid w:val="00234474"/>
    <w:rsid w:val="00240D6A"/>
    <w:rsid w:val="00241C35"/>
    <w:rsid w:val="0024428F"/>
    <w:rsid w:val="002466C0"/>
    <w:rsid w:val="00247A6D"/>
    <w:rsid w:val="00247C43"/>
    <w:rsid w:val="00250623"/>
    <w:rsid w:val="00250F6A"/>
    <w:rsid w:val="00251723"/>
    <w:rsid w:val="002517D2"/>
    <w:rsid w:val="00252D1A"/>
    <w:rsid w:val="002540A2"/>
    <w:rsid w:val="00254686"/>
    <w:rsid w:val="00255518"/>
    <w:rsid w:val="00260CF8"/>
    <w:rsid w:val="00260DCF"/>
    <w:rsid w:val="00261708"/>
    <w:rsid w:val="00262CBE"/>
    <w:rsid w:val="00262E3D"/>
    <w:rsid w:val="00264CFE"/>
    <w:rsid w:val="002653DE"/>
    <w:rsid w:val="00265454"/>
    <w:rsid w:val="0026548A"/>
    <w:rsid w:val="002666D2"/>
    <w:rsid w:val="00271102"/>
    <w:rsid w:val="00272933"/>
    <w:rsid w:val="002745E1"/>
    <w:rsid w:val="00277005"/>
    <w:rsid w:val="00280B2D"/>
    <w:rsid w:val="00281AF1"/>
    <w:rsid w:val="00283DDF"/>
    <w:rsid w:val="00286CCF"/>
    <w:rsid w:val="002903E9"/>
    <w:rsid w:val="0029050A"/>
    <w:rsid w:val="00292209"/>
    <w:rsid w:val="00296C63"/>
    <w:rsid w:val="00297214"/>
    <w:rsid w:val="00297C77"/>
    <w:rsid w:val="002A0122"/>
    <w:rsid w:val="002A3F59"/>
    <w:rsid w:val="002A446F"/>
    <w:rsid w:val="002A5C41"/>
    <w:rsid w:val="002A65CA"/>
    <w:rsid w:val="002A6AB1"/>
    <w:rsid w:val="002A6AF4"/>
    <w:rsid w:val="002A77CE"/>
    <w:rsid w:val="002B064E"/>
    <w:rsid w:val="002B0FE5"/>
    <w:rsid w:val="002B3D49"/>
    <w:rsid w:val="002B787E"/>
    <w:rsid w:val="002B7F26"/>
    <w:rsid w:val="002C2C61"/>
    <w:rsid w:val="002C332E"/>
    <w:rsid w:val="002C4BCD"/>
    <w:rsid w:val="002C4DC3"/>
    <w:rsid w:val="002C6D65"/>
    <w:rsid w:val="002C6F1A"/>
    <w:rsid w:val="002C7EA6"/>
    <w:rsid w:val="002D07FB"/>
    <w:rsid w:val="002D0837"/>
    <w:rsid w:val="002D08F5"/>
    <w:rsid w:val="002D1FBF"/>
    <w:rsid w:val="002D21C7"/>
    <w:rsid w:val="002D5349"/>
    <w:rsid w:val="002D536D"/>
    <w:rsid w:val="002D5D91"/>
    <w:rsid w:val="002D6071"/>
    <w:rsid w:val="002D61FC"/>
    <w:rsid w:val="002D6F1D"/>
    <w:rsid w:val="002E5CDC"/>
    <w:rsid w:val="002E6853"/>
    <w:rsid w:val="002E72B2"/>
    <w:rsid w:val="002F03F1"/>
    <w:rsid w:val="002F05CE"/>
    <w:rsid w:val="002F1A5D"/>
    <w:rsid w:val="002F3C57"/>
    <w:rsid w:val="002F3F4D"/>
    <w:rsid w:val="002F63F5"/>
    <w:rsid w:val="002F74F4"/>
    <w:rsid w:val="002F78FC"/>
    <w:rsid w:val="00301012"/>
    <w:rsid w:val="0030139E"/>
    <w:rsid w:val="003025F8"/>
    <w:rsid w:val="003113FC"/>
    <w:rsid w:val="003138A0"/>
    <w:rsid w:val="003165C4"/>
    <w:rsid w:val="00316CE7"/>
    <w:rsid w:val="00317411"/>
    <w:rsid w:val="00317AEC"/>
    <w:rsid w:val="00320B11"/>
    <w:rsid w:val="00321B80"/>
    <w:rsid w:val="00322B90"/>
    <w:rsid w:val="00322E33"/>
    <w:rsid w:val="00323749"/>
    <w:rsid w:val="003251D3"/>
    <w:rsid w:val="00325F1E"/>
    <w:rsid w:val="0032735B"/>
    <w:rsid w:val="0032795D"/>
    <w:rsid w:val="003329C5"/>
    <w:rsid w:val="003346B5"/>
    <w:rsid w:val="00336B3B"/>
    <w:rsid w:val="003376C4"/>
    <w:rsid w:val="0034009B"/>
    <w:rsid w:val="00342496"/>
    <w:rsid w:val="00342E82"/>
    <w:rsid w:val="00343D70"/>
    <w:rsid w:val="00347EB7"/>
    <w:rsid w:val="003510EE"/>
    <w:rsid w:val="003521F4"/>
    <w:rsid w:val="00356741"/>
    <w:rsid w:val="00356A7B"/>
    <w:rsid w:val="00356BA8"/>
    <w:rsid w:val="00357194"/>
    <w:rsid w:val="00357F2F"/>
    <w:rsid w:val="00362A44"/>
    <w:rsid w:val="0036306D"/>
    <w:rsid w:val="00363A34"/>
    <w:rsid w:val="00363C55"/>
    <w:rsid w:val="00364FE9"/>
    <w:rsid w:val="0036689D"/>
    <w:rsid w:val="00370C9D"/>
    <w:rsid w:val="00371FCB"/>
    <w:rsid w:val="00371FF2"/>
    <w:rsid w:val="00373486"/>
    <w:rsid w:val="003736A1"/>
    <w:rsid w:val="00373BB1"/>
    <w:rsid w:val="00374417"/>
    <w:rsid w:val="003744EA"/>
    <w:rsid w:val="00375359"/>
    <w:rsid w:val="003757F2"/>
    <w:rsid w:val="003763C5"/>
    <w:rsid w:val="00376B5B"/>
    <w:rsid w:val="00376C22"/>
    <w:rsid w:val="00380E97"/>
    <w:rsid w:val="0038237F"/>
    <w:rsid w:val="00382873"/>
    <w:rsid w:val="0038342A"/>
    <w:rsid w:val="00384275"/>
    <w:rsid w:val="0038472F"/>
    <w:rsid w:val="00386043"/>
    <w:rsid w:val="00386112"/>
    <w:rsid w:val="003861EC"/>
    <w:rsid w:val="00386AD0"/>
    <w:rsid w:val="00386DBA"/>
    <w:rsid w:val="00393CC8"/>
    <w:rsid w:val="003959FD"/>
    <w:rsid w:val="003A0AFF"/>
    <w:rsid w:val="003A14C2"/>
    <w:rsid w:val="003A3650"/>
    <w:rsid w:val="003A39B6"/>
    <w:rsid w:val="003A3AD8"/>
    <w:rsid w:val="003A4489"/>
    <w:rsid w:val="003A4AE3"/>
    <w:rsid w:val="003A56BA"/>
    <w:rsid w:val="003B2A83"/>
    <w:rsid w:val="003B2C34"/>
    <w:rsid w:val="003B3FEC"/>
    <w:rsid w:val="003B5CB4"/>
    <w:rsid w:val="003B6137"/>
    <w:rsid w:val="003C1372"/>
    <w:rsid w:val="003C1B1B"/>
    <w:rsid w:val="003C1F71"/>
    <w:rsid w:val="003C32BD"/>
    <w:rsid w:val="003C6D4F"/>
    <w:rsid w:val="003C77CA"/>
    <w:rsid w:val="003C7B86"/>
    <w:rsid w:val="003D0955"/>
    <w:rsid w:val="003D1736"/>
    <w:rsid w:val="003D3730"/>
    <w:rsid w:val="003D4B42"/>
    <w:rsid w:val="003D6655"/>
    <w:rsid w:val="003D77C1"/>
    <w:rsid w:val="003E0E1E"/>
    <w:rsid w:val="003E1FCB"/>
    <w:rsid w:val="003E2BBA"/>
    <w:rsid w:val="003E3B4E"/>
    <w:rsid w:val="003E461A"/>
    <w:rsid w:val="003E46AA"/>
    <w:rsid w:val="003E583D"/>
    <w:rsid w:val="003E6B68"/>
    <w:rsid w:val="003F7AA6"/>
    <w:rsid w:val="00403E2B"/>
    <w:rsid w:val="00404857"/>
    <w:rsid w:val="00406B01"/>
    <w:rsid w:val="00407540"/>
    <w:rsid w:val="00407F3A"/>
    <w:rsid w:val="004101CF"/>
    <w:rsid w:val="00410B57"/>
    <w:rsid w:val="00411A58"/>
    <w:rsid w:val="004121F3"/>
    <w:rsid w:val="00412663"/>
    <w:rsid w:val="00414ABB"/>
    <w:rsid w:val="0041506D"/>
    <w:rsid w:val="0041696F"/>
    <w:rsid w:val="00416BBA"/>
    <w:rsid w:val="00416EF1"/>
    <w:rsid w:val="0041774F"/>
    <w:rsid w:val="0042006F"/>
    <w:rsid w:val="00422D4E"/>
    <w:rsid w:val="00423FDB"/>
    <w:rsid w:val="004242E0"/>
    <w:rsid w:val="004253C7"/>
    <w:rsid w:val="00425749"/>
    <w:rsid w:val="00425B61"/>
    <w:rsid w:val="0042696B"/>
    <w:rsid w:val="004270CB"/>
    <w:rsid w:val="004310E0"/>
    <w:rsid w:val="004345CD"/>
    <w:rsid w:val="00434751"/>
    <w:rsid w:val="00436CF6"/>
    <w:rsid w:val="00437DB5"/>
    <w:rsid w:val="00440130"/>
    <w:rsid w:val="004412C8"/>
    <w:rsid w:val="004413BB"/>
    <w:rsid w:val="004429CA"/>
    <w:rsid w:val="00443FB0"/>
    <w:rsid w:val="004452EB"/>
    <w:rsid w:val="00446892"/>
    <w:rsid w:val="004475BD"/>
    <w:rsid w:val="00450286"/>
    <w:rsid w:val="0045163D"/>
    <w:rsid w:val="00451D39"/>
    <w:rsid w:val="004531C2"/>
    <w:rsid w:val="0045377B"/>
    <w:rsid w:val="00454AAE"/>
    <w:rsid w:val="00455705"/>
    <w:rsid w:val="00456B74"/>
    <w:rsid w:val="00462DC4"/>
    <w:rsid w:val="00463646"/>
    <w:rsid w:val="00465073"/>
    <w:rsid w:val="004667DE"/>
    <w:rsid w:val="00470D3F"/>
    <w:rsid w:val="00473875"/>
    <w:rsid w:val="00473993"/>
    <w:rsid w:val="00475225"/>
    <w:rsid w:val="004755B3"/>
    <w:rsid w:val="00476A53"/>
    <w:rsid w:val="00476BB9"/>
    <w:rsid w:val="00477359"/>
    <w:rsid w:val="00477C2E"/>
    <w:rsid w:val="00481B69"/>
    <w:rsid w:val="00481DBD"/>
    <w:rsid w:val="004824AD"/>
    <w:rsid w:val="004828A2"/>
    <w:rsid w:val="00484CE9"/>
    <w:rsid w:val="00486973"/>
    <w:rsid w:val="00491374"/>
    <w:rsid w:val="00492B23"/>
    <w:rsid w:val="00493CE7"/>
    <w:rsid w:val="00494AF6"/>
    <w:rsid w:val="00494E02"/>
    <w:rsid w:val="00496972"/>
    <w:rsid w:val="0049697F"/>
    <w:rsid w:val="00496C13"/>
    <w:rsid w:val="00497794"/>
    <w:rsid w:val="004A17AD"/>
    <w:rsid w:val="004A211E"/>
    <w:rsid w:val="004A221F"/>
    <w:rsid w:val="004A25EB"/>
    <w:rsid w:val="004A2A36"/>
    <w:rsid w:val="004A50F9"/>
    <w:rsid w:val="004B054F"/>
    <w:rsid w:val="004B0BA7"/>
    <w:rsid w:val="004B3616"/>
    <w:rsid w:val="004B43A0"/>
    <w:rsid w:val="004B6905"/>
    <w:rsid w:val="004B6F3F"/>
    <w:rsid w:val="004C1612"/>
    <w:rsid w:val="004C1E0C"/>
    <w:rsid w:val="004C292E"/>
    <w:rsid w:val="004C3128"/>
    <w:rsid w:val="004C35C3"/>
    <w:rsid w:val="004C52DD"/>
    <w:rsid w:val="004C7F87"/>
    <w:rsid w:val="004D5169"/>
    <w:rsid w:val="004D7B00"/>
    <w:rsid w:val="004E297B"/>
    <w:rsid w:val="004E47DF"/>
    <w:rsid w:val="004E5C3F"/>
    <w:rsid w:val="004E6369"/>
    <w:rsid w:val="004F0C7B"/>
    <w:rsid w:val="004F0EBA"/>
    <w:rsid w:val="0050020B"/>
    <w:rsid w:val="00501159"/>
    <w:rsid w:val="00502524"/>
    <w:rsid w:val="00503098"/>
    <w:rsid w:val="00504E9A"/>
    <w:rsid w:val="00507AF2"/>
    <w:rsid w:val="005108B1"/>
    <w:rsid w:val="00510DCF"/>
    <w:rsid w:val="00511016"/>
    <w:rsid w:val="00511DCA"/>
    <w:rsid w:val="005131E2"/>
    <w:rsid w:val="00513E3A"/>
    <w:rsid w:val="00520314"/>
    <w:rsid w:val="00522620"/>
    <w:rsid w:val="00522CF9"/>
    <w:rsid w:val="00526194"/>
    <w:rsid w:val="0053259F"/>
    <w:rsid w:val="005337C4"/>
    <w:rsid w:val="005338C2"/>
    <w:rsid w:val="00533B1A"/>
    <w:rsid w:val="005348E4"/>
    <w:rsid w:val="00536D73"/>
    <w:rsid w:val="0053702B"/>
    <w:rsid w:val="00540DC4"/>
    <w:rsid w:val="005423B3"/>
    <w:rsid w:val="00543023"/>
    <w:rsid w:val="00544DF8"/>
    <w:rsid w:val="00544ED4"/>
    <w:rsid w:val="00545ABC"/>
    <w:rsid w:val="0055010C"/>
    <w:rsid w:val="00553726"/>
    <w:rsid w:val="00553B1C"/>
    <w:rsid w:val="005565F6"/>
    <w:rsid w:val="00556CF7"/>
    <w:rsid w:val="0055700A"/>
    <w:rsid w:val="00562A5E"/>
    <w:rsid w:val="00562D10"/>
    <w:rsid w:val="00563E11"/>
    <w:rsid w:val="00563FE5"/>
    <w:rsid w:val="00564785"/>
    <w:rsid w:val="00564965"/>
    <w:rsid w:val="00567238"/>
    <w:rsid w:val="005676C4"/>
    <w:rsid w:val="0056778C"/>
    <w:rsid w:val="005710EA"/>
    <w:rsid w:val="005719E6"/>
    <w:rsid w:val="00571F16"/>
    <w:rsid w:val="00573C54"/>
    <w:rsid w:val="00574392"/>
    <w:rsid w:val="00574470"/>
    <w:rsid w:val="005752E9"/>
    <w:rsid w:val="0057711F"/>
    <w:rsid w:val="00581C56"/>
    <w:rsid w:val="00583A93"/>
    <w:rsid w:val="00584A0D"/>
    <w:rsid w:val="0058569E"/>
    <w:rsid w:val="00585EE4"/>
    <w:rsid w:val="00586DBB"/>
    <w:rsid w:val="00587058"/>
    <w:rsid w:val="0058774D"/>
    <w:rsid w:val="00590F65"/>
    <w:rsid w:val="00591D8E"/>
    <w:rsid w:val="00591FF0"/>
    <w:rsid w:val="00593428"/>
    <w:rsid w:val="00593864"/>
    <w:rsid w:val="00594E4E"/>
    <w:rsid w:val="00596920"/>
    <w:rsid w:val="00597126"/>
    <w:rsid w:val="00597787"/>
    <w:rsid w:val="005A15C6"/>
    <w:rsid w:val="005A24CC"/>
    <w:rsid w:val="005A266F"/>
    <w:rsid w:val="005A3C85"/>
    <w:rsid w:val="005A78D0"/>
    <w:rsid w:val="005A79A3"/>
    <w:rsid w:val="005B2328"/>
    <w:rsid w:val="005B3F37"/>
    <w:rsid w:val="005B4B95"/>
    <w:rsid w:val="005B4E35"/>
    <w:rsid w:val="005B561A"/>
    <w:rsid w:val="005B6839"/>
    <w:rsid w:val="005B6963"/>
    <w:rsid w:val="005C18F6"/>
    <w:rsid w:val="005C4758"/>
    <w:rsid w:val="005C4928"/>
    <w:rsid w:val="005C7F21"/>
    <w:rsid w:val="005D299A"/>
    <w:rsid w:val="005D2D88"/>
    <w:rsid w:val="005D3CA8"/>
    <w:rsid w:val="005D3DB5"/>
    <w:rsid w:val="005D4EC7"/>
    <w:rsid w:val="005D5580"/>
    <w:rsid w:val="005D5587"/>
    <w:rsid w:val="005E0F0A"/>
    <w:rsid w:val="005E2300"/>
    <w:rsid w:val="005E3116"/>
    <w:rsid w:val="005E4653"/>
    <w:rsid w:val="005E682B"/>
    <w:rsid w:val="005E6FF5"/>
    <w:rsid w:val="005E725F"/>
    <w:rsid w:val="005E7BB1"/>
    <w:rsid w:val="005F225A"/>
    <w:rsid w:val="005F3255"/>
    <w:rsid w:val="005F3A5C"/>
    <w:rsid w:val="005F429A"/>
    <w:rsid w:val="006018F0"/>
    <w:rsid w:val="006049C5"/>
    <w:rsid w:val="0060750D"/>
    <w:rsid w:val="00607C9E"/>
    <w:rsid w:val="00610DBC"/>
    <w:rsid w:val="00612AB9"/>
    <w:rsid w:val="00613AFA"/>
    <w:rsid w:val="0061441E"/>
    <w:rsid w:val="0061722C"/>
    <w:rsid w:val="006216C2"/>
    <w:rsid w:val="0062194C"/>
    <w:rsid w:val="00621F58"/>
    <w:rsid w:val="006227A0"/>
    <w:rsid w:val="0062535C"/>
    <w:rsid w:val="00625F03"/>
    <w:rsid w:val="0063027A"/>
    <w:rsid w:val="00631963"/>
    <w:rsid w:val="00633D59"/>
    <w:rsid w:val="00634C81"/>
    <w:rsid w:val="0063543E"/>
    <w:rsid w:val="00636FA0"/>
    <w:rsid w:val="00637C96"/>
    <w:rsid w:val="00640563"/>
    <w:rsid w:val="00640651"/>
    <w:rsid w:val="00640FE0"/>
    <w:rsid w:val="006411E7"/>
    <w:rsid w:val="00645545"/>
    <w:rsid w:val="006510C3"/>
    <w:rsid w:val="0065116C"/>
    <w:rsid w:val="00652732"/>
    <w:rsid w:val="0065293D"/>
    <w:rsid w:val="00653018"/>
    <w:rsid w:val="0065339B"/>
    <w:rsid w:val="00653D38"/>
    <w:rsid w:val="00654741"/>
    <w:rsid w:val="00655160"/>
    <w:rsid w:val="0065521E"/>
    <w:rsid w:val="00655845"/>
    <w:rsid w:val="00656CD9"/>
    <w:rsid w:val="0066009E"/>
    <w:rsid w:val="00661C49"/>
    <w:rsid w:val="006635FF"/>
    <w:rsid w:val="00664F79"/>
    <w:rsid w:val="006654A7"/>
    <w:rsid w:val="0066713B"/>
    <w:rsid w:val="006714C5"/>
    <w:rsid w:val="00671DA4"/>
    <w:rsid w:val="006727DE"/>
    <w:rsid w:val="00676094"/>
    <w:rsid w:val="0067621F"/>
    <w:rsid w:val="00676AA6"/>
    <w:rsid w:val="00680DBC"/>
    <w:rsid w:val="006827B3"/>
    <w:rsid w:val="00682984"/>
    <w:rsid w:val="00686CA2"/>
    <w:rsid w:val="00687ABC"/>
    <w:rsid w:val="00687C88"/>
    <w:rsid w:val="00690925"/>
    <w:rsid w:val="006916E0"/>
    <w:rsid w:val="00692068"/>
    <w:rsid w:val="00692172"/>
    <w:rsid w:val="0069353E"/>
    <w:rsid w:val="00693C00"/>
    <w:rsid w:val="00697DFA"/>
    <w:rsid w:val="006A121B"/>
    <w:rsid w:val="006A2703"/>
    <w:rsid w:val="006A44E3"/>
    <w:rsid w:val="006A4DD2"/>
    <w:rsid w:val="006A5256"/>
    <w:rsid w:val="006A67F7"/>
    <w:rsid w:val="006A6DBF"/>
    <w:rsid w:val="006A6EAD"/>
    <w:rsid w:val="006B0F07"/>
    <w:rsid w:val="006B1482"/>
    <w:rsid w:val="006B5BA9"/>
    <w:rsid w:val="006B66A6"/>
    <w:rsid w:val="006B784F"/>
    <w:rsid w:val="006C0053"/>
    <w:rsid w:val="006C192A"/>
    <w:rsid w:val="006C32DD"/>
    <w:rsid w:val="006C34E7"/>
    <w:rsid w:val="006C44B8"/>
    <w:rsid w:val="006C540F"/>
    <w:rsid w:val="006C6259"/>
    <w:rsid w:val="006D04C6"/>
    <w:rsid w:val="006D0C3B"/>
    <w:rsid w:val="006D38CF"/>
    <w:rsid w:val="006D4016"/>
    <w:rsid w:val="006D5474"/>
    <w:rsid w:val="006D5A5D"/>
    <w:rsid w:val="006D642F"/>
    <w:rsid w:val="006D6589"/>
    <w:rsid w:val="006E23AB"/>
    <w:rsid w:val="006E56E0"/>
    <w:rsid w:val="006E6CCA"/>
    <w:rsid w:val="006E6D1E"/>
    <w:rsid w:val="006F0F45"/>
    <w:rsid w:val="006F2B27"/>
    <w:rsid w:val="006F2EFD"/>
    <w:rsid w:val="006F3FB1"/>
    <w:rsid w:val="006F48F7"/>
    <w:rsid w:val="006F712E"/>
    <w:rsid w:val="006F79F1"/>
    <w:rsid w:val="00700150"/>
    <w:rsid w:val="007025EF"/>
    <w:rsid w:val="00704598"/>
    <w:rsid w:val="00704DD1"/>
    <w:rsid w:val="00707225"/>
    <w:rsid w:val="00713A0B"/>
    <w:rsid w:val="007140FF"/>
    <w:rsid w:val="00714656"/>
    <w:rsid w:val="00716D4E"/>
    <w:rsid w:val="00716FC8"/>
    <w:rsid w:val="007210C7"/>
    <w:rsid w:val="00721319"/>
    <w:rsid w:val="007231A5"/>
    <w:rsid w:val="00724A9F"/>
    <w:rsid w:val="00727B3F"/>
    <w:rsid w:val="007306AF"/>
    <w:rsid w:val="00730C3A"/>
    <w:rsid w:val="00731798"/>
    <w:rsid w:val="00732532"/>
    <w:rsid w:val="007355C5"/>
    <w:rsid w:val="0073589C"/>
    <w:rsid w:val="00736696"/>
    <w:rsid w:val="00740B3D"/>
    <w:rsid w:val="00741375"/>
    <w:rsid w:val="007413BF"/>
    <w:rsid w:val="00741C33"/>
    <w:rsid w:val="00741C60"/>
    <w:rsid w:val="00742C27"/>
    <w:rsid w:val="0074414A"/>
    <w:rsid w:val="007446EC"/>
    <w:rsid w:val="007452B0"/>
    <w:rsid w:val="007465A8"/>
    <w:rsid w:val="00746A09"/>
    <w:rsid w:val="00746BF2"/>
    <w:rsid w:val="00750112"/>
    <w:rsid w:val="00753C44"/>
    <w:rsid w:val="00753ED4"/>
    <w:rsid w:val="00754668"/>
    <w:rsid w:val="00754B43"/>
    <w:rsid w:val="0075508D"/>
    <w:rsid w:val="007554C4"/>
    <w:rsid w:val="007563DA"/>
    <w:rsid w:val="00760E00"/>
    <w:rsid w:val="007611AA"/>
    <w:rsid w:val="00764E3E"/>
    <w:rsid w:val="00765255"/>
    <w:rsid w:val="00765B98"/>
    <w:rsid w:val="00766791"/>
    <w:rsid w:val="0076750A"/>
    <w:rsid w:val="00771A1B"/>
    <w:rsid w:val="00772B06"/>
    <w:rsid w:val="0077304D"/>
    <w:rsid w:val="007730E8"/>
    <w:rsid w:val="00774462"/>
    <w:rsid w:val="0077485C"/>
    <w:rsid w:val="0077490E"/>
    <w:rsid w:val="0077693B"/>
    <w:rsid w:val="00776B9E"/>
    <w:rsid w:val="0077763F"/>
    <w:rsid w:val="00781CE9"/>
    <w:rsid w:val="007846B4"/>
    <w:rsid w:val="0078570F"/>
    <w:rsid w:val="0078639A"/>
    <w:rsid w:val="007876D3"/>
    <w:rsid w:val="00787702"/>
    <w:rsid w:val="00787879"/>
    <w:rsid w:val="00790081"/>
    <w:rsid w:val="007902A0"/>
    <w:rsid w:val="00791119"/>
    <w:rsid w:val="0079167A"/>
    <w:rsid w:val="00793D2B"/>
    <w:rsid w:val="007A1F8E"/>
    <w:rsid w:val="007A2A8F"/>
    <w:rsid w:val="007A2C3E"/>
    <w:rsid w:val="007A40AD"/>
    <w:rsid w:val="007A4DAD"/>
    <w:rsid w:val="007A5524"/>
    <w:rsid w:val="007A5CD9"/>
    <w:rsid w:val="007A6544"/>
    <w:rsid w:val="007A6A3A"/>
    <w:rsid w:val="007A71B0"/>
    <w:rsid w:val="007A73AF"/>
    <w:rsid w:val="007A7421"/>
    <w:rsid w:val="007A75D4"/>
    <w:rsid w:val="007A7F4C"/>
    <w:rsid w:val="007B06BD"/>
    <w:rsid w:val="007B1363"/>
    <w:rsid w:val="007B181A"/>
    <w:rsid w:val="007B208A"/>
    <w:rsid w:val="007B6009"/>
    <w:rsid w:val="007C2E40"/>
    <w:rsid w:val="007C4400"/>
    <w:rsid w:val="007C53AF"/>
    <w:rsid w:val="007C5DC3"/>
    <w:rsid w:val="007C5E97"/>
    <w:rsid w:val="007C6B09"/>
    <w:rsid w:val="007C79E9"/>
    <w:rsid w:val="007D2B75"/>
    <w:rsid w:val="007D4ED8"/>
    <w:rsid w:val="007D6BEC"/>
    <w:rsid w:val="007D762B"/>
    <w:rsid w:val="007D7B7D"/>
    <w:rsid w:val="007E00A5"/>
    <w:rsid w:val="007E1589"/>
    <w:rsid w:val="007E1B8C"/>
    <w:rsid w:val="007E5BBA"/>
    <w:rsid w:val="007E6393"/>
    <w:rsid w:val="007E7207"/>
    <w:rsid w:val="007E7594"/>
    <w:rsid w:val="007F0D67"/>
    <w:rsid w:val="007F25D9"/>
    <w:rsid w:val="007F3304"/>
    <w:rsid w:val="007F5D9F"/>
    <w:rsid w:val="007F6D2D"/>
    <w:rsid w:val="0080229C"/>
    <w:rsid w:val="00802AB4"/>
    <w:rsid w:val="00802CD4"/>
    <w:rsid w:val="00803F97"/>
    <w:rsid w:val="0080434C"/>
    <w:rsid w:val="00805B46"/>
    <w:rsid w:val="00806163"/>
    <w:rsid w:val="008066B4"/>
    <w:rsid w:val="00806D8D"/>
    <w:rsid w:val="00813A45"/>
    <w:rsid w:val="00814E20"/>
    <w:rsid w:val="00816513"/>
    <w:rsid w:val="00817FF8"/>
    <w:rsid w:val="00823196"/>
    <w:rsid w:val="00823B53"/>
    <w:rsid w:val="00824DEE"/>
    <w:rsid w:val="008253CF"/>
    <w:rsid w:val="008255DF"/>
    <w:rsid w:val="00825C3E"/>
    <w:rsid w:val="00825DCB"/>
    <w:rsid w:val="008301D9"/>
    <w:rsid w:val="00830A1E"/>
    <w:rsid w:val="0083193F"/>
    <w:rsid w:val="00831C85"/>
    <w:rsid w:val="00831E6E"/>
    <w:rsid w:val="008338F8"/>
    <w:rsid w:val="00834911"/>
    <w:rsid w:val="00834EE0"/>
    <w:rsid w:val="00835391"/>
    <w:rsid w:val="00835BC7"/>
    <w:rsid w:val="00840600"/>
    <w:rsid w:val="00840F9A"/>
    <w:rsid w:val="008414B6"/>
    <w:rsid w:val="008419F5"/>
    <w:rsid w:val="008421BA"/>
    <w:rsid w:val="00842446"/>
    <w:rsid w:val="00842BBD"/>
    <w:rsid w:val="00843269"/>
    <w:rsid w:val="0084456A"/>
    <w:rsid w:val="00844DA4"/>
    <w:rsid w:val="008471F8"/>
    <w:rsid w:val="00847998"/>
    <w:rsid w:val="00847E63"/>
    <w:rsid w:val="00850733"/>
    <w:rsid w:val="00850B74"/>
    <w:rsid w:val="00851691"/>
    <w:rsid w:val="00852F40"/>
    <w:rsid w:val="008549E9"/>
    <w:rsid w:val="00856396"/>
    <w:rsid w:val="00856A45"/>
    <w:rsid w:val="00857ED7"/>
    <w:rsid w:val="0086064E"/>
    <w:rsid w:val="008607D2"/>
    <w:rsid w:val="00862C08"/>
    <w:rsid w:val="008642A4"/>
    <w:rsid w:val="0086447F"/>
    <w:rsid w:val="00865449"/>
    <w:rsid w:val="00867037"/>
    <w:rsid w:val="00867452"/>
    <w:rsid w:val="008701FC"/>
    <w:rsid w:val="00870C42"/>
    <w:rsid w:val="00872392"/>
    <w:rsid w:val="00876241"/>
    <w:rsid w:val="00876F6F"/>
    <w:rsid w:val="00880AF9"/>
    <w:rsid w:val="0088131E"/>
    <w:rsid w:val="00883772"/>
    <w:rsid w:val="00883D6E"/>
    <w:rsid w:val="00884395"/>
    <w:rsid w:val="008850DC"/>
    <w:rsid w:val="00885A8B"/>
    <w:rsid w:val="00885A9F"/>
    <w:rsid w:val="008902E6"/>
    <w:rsid w:val="008913D0"/>
    <w:rsid w:val="008920DD"/>
    <w:rsid w:val="00893D25"/>
    <w:rsid w:val="00894A3F"/>
    <w:rsid w:val="00897EDC"/>
    <w:rsid w:val="008A4741"/>
    <w:rsid w:val="008A4F8D"/>
    <w:rsid w:val="008A5618"/>
    <w:rsid w:val="008A70AC"/>
    <w:rsid w:val="008A729F"/>
    <w:rsid w:val="008A7E6C"/>
    <w:rsid w:val="008A7EFC"/>
    <w:rsid w:val="008B0DE9"/>
    <w:rsid w:val="008B10EB"/>
    <w:rsid w:val="008B11A6"/>
    <w:rsid w:val="008B322D"/>
    <w:rsid w:val="008B3241"/>
    <w:rsid w:val="008B423A"/>
    <w:rsid w:val="008B47D4"/>
    <w:rsid w:val="008B63FB"/>
    <w:rsid w:val="008B6F42"/>
    <w:rsid w:val="008C0411"/>
    <w:rsid w:val="008C05BC"/>
    <w:rsid w:val="008C2D13"/>
    <w:rsid w:val="008C3668"/>
    <w:rsid w:val="008C5622"/>
    <w:rsid w:val="008C637E"/>
    <w:rsid w:val="008D0AAA"/>
    <w:rsid w:val="008D0B49"/>
    <w:rsid w:val="008D20CD"/>
    <w:rsid w:val="008D2266"/>
    <w:rsid w:val="008D3327"/>
    <w:rsid w:val="008D4811"/>
    <w:rsid w:val="008E02CE"/>
    <w:rsid w:val="008E09E0"/>
    <w:rsid w:val="008E0C2D"/>
    <w:rsid w:val="008E16CB"/>
    <w:rsid w:val="008E4356"/>
    <w:rsid w:val="008E59E8"/>
    <w:rsid w:val="008E7481"/>
    <w:rsid w:val="008F038A"/>
    <w:rsid w:val="008F0AEA"/>
    <w:rsid w:val="008F362C"/>
    <w:rsid w:val="008F49F8"/>
    <w:rsid w:val="008F4B98"/>
    <w:rsid w:val="008F5B8E"/>
    <w:rsid w:val="008F6319"/>
    <w:rsid w:val="008F7DE3"/>
    <w:rsid w:val="00900068"/>
    <w:rsid w:val="0090134C"/>
    <w:rsid w:val="00902B42"/>
    <w:rsid w:val="00902F2A"/>
    <w:rsid w:val="00903E62"/>
    <w:rsid w:val="00904AE5"/>
    <w:rsid w:val="0090535D"/>
    <w:rsid w:val="00905435"/>
    <w:rsid w:val="00905EE0"/>
    <w:rsid w:val="009103DE"/>
    <w:rsid w:val="00911A8A"/>
    <w:rsid w:val="00912265"/>
    <w:rsid w:val="00913F92"/>
    <w:rsid w:val="00913FFD"/>
    <w:rsid w:val="00914B61"/>
    <w:rsid w:val="00916C93"/>
    <w:rsid w:val="00920F69"/>
    <w:rsid w:val="00922714"/>
    <w:rsid w:val="00922946"/>
    <w:rsid w:val="00922AA0"/>
    <w:rsid w:val="00922CB8"/>
    <w:rsid w:val="00923B0F"/>
    <w:rsid w:val="0092482C"/>
    <w:rsid w:val="0092483E"/>
    <w:rsid w:val="0093010F"/>
    <w:rsid w:val="00931532"/>
    <w:rsid w:val="00933D5A"/>
    <w:rsid w:val="00940D35"/>
    <w:rsid w:val="00940FF2"/>
    <w:rsid w:val="009411C5"/>
    <w:rsid w:val="00941BCE"/>
    <w:rsid w:val="0094234C"/>
    <w:rsid w:val="009427D5"/>
    <w:rsid w:val="0094557E"/>
    <w:rsid w:val="0094612F"/>
    <w:rsid w:val="00946312"/>
    <w:rsid w:val="00952F29"/>
    <w:rsid w:val="00954333"/>
    <w:rsid w:val="00954632"/>
    <w:rsid w:val="00957B2C"/>
    <w:rsid w:val="0096275A"/>
    <w:rsid w:val="00962958"/>
    <w:rsid w:val="0096431E"/>
    <w:rsid w:val="00966D64"/>
    <w:rsid w:val="00967A2A"/>
    <w:rsid w:val="00967B8B"/>
    <w:rsid w:val="0097051C"/>
    <w:rsid w:val="00970ED5"/>
    <w:rsid w:val="0097414A"/>
    <w:rsid w:val="00975133"/>
    <w:rsid w:val="009760E8"/>
    <w:rsid w:val="0097613A"/>
    <w:rsid w:val="00976282"/>
    <w:rsid w:val="00977278"/>
    <w:rsid w:val="0097797C"/>
    <w:rsid w:val="00982B1F"/>
    <w:rsid w:val="00983D41"/>
    <w:rsid w:val="0098546E"/>
    <w:rsid w:val="009862A5"/>
    <w:rsid w:val="00986A0E"/>
    <w:rsid w:val="009872A8"/>
    <w:rsid w:val="009906DE"/>
    <w:rsid w:val="00991200"/>
    <w:rsid w:val="00991ABF"/>
    <w:rsid w:val="009948BD"/>
    <w:rsid w:val="00995228"/>
    <w:rsid w:val="009A0F96"/>
    <w:rsid w:val="009A2D34"/>
    <w:rsid w:val="009A33BD"/>
    <w:rsid w:val="009A37FB"/>
    <w:rsid w:val="009A6ABE"/>
    <w:rsid w:val="009A7798"/>
    <w:rsid w:val="009B0266"/>
    <w:rsid w:val="009B0562"/>
    <w:rsid w:val="009B33E4"/>
    <w:rsid w:val="009B3722"/>
    <w:rsid w:val="009B47D7"/>
    <w:rsid w:val="009B7A86"/>
    <w:rsid w:val="009C5C56"/>
    <w:rsid w:val="009C5D65"/>
    <w:rsid w:val="009D0215"/>
    <w:rsid w:val="009D11A4"/>
    <w:rsid w:val="009D1CA4"/>
    <w:rsid w:val="009D4784"/>
    <w:rsid w:val="009D6FE2"/>
    <w:rsid w:val="009D76CC"/>
    <w:rsid w:val="009E02C4"/>
    <w:rsid w:val="009E104A"/>
    <w:rsid w:val="009E1F40"/>
    <w:rsid w:val="009E278D"/>
    <w:rsid w:val="009E29CE"/>
    <w:rsid w:val="009E7A00"/>
    <w:rsid w:val="009F024A"/>
    <w:rsid w:val="009F10DD"/>
    <w:rsid w:val="00A00EFD"/>
    <w:rsid w:val="00A00FBA"/>
    <w:rsid w:val="00A01B99"/>
    <w:rsid w:val="00A01ECF"/>
    <w:rsid w:val="00A02347"/>
    <w:rsid w:val="00A040D7"/>
    <w:rsid w:val="00A07F0B"/>
    <w:rsid w:val="00A1055C"/>
    <w:rsid w:val="00A10908"/>
    <w:rsid w:val="00A11FDA"/>
    <w:rsid w:val="00A1239F"/>
    <w:rsid w:val="00A124BD"/>
    <w:rsid w:val="00A12AFB"/>
    <w:rsid w:val="00A14815"/>
    <w:rsid w:val="00A14D26"/>
    <w:rsid w:val="00A1593F"/>
    <w:rsid w:val="00A176AA"/>
    <w:rsid w:val="00A3185F"/>
    <w:rsid w:val="00A3240C"/>
    <w:rsid w:val="00A33F49"/>
    <w:rsid w:val="00A342A5"/>
    <w:rsid w:val="00A3747D"/>
    <w:rsid w:val="00A411A3"/>
    <w:rsid w:val="00A4169B"/>
    <w:rsid w:val="00A43B2C"/>
    <w:rsid w:val="00A461B5"/>
    <w:rsid w:val="00A47DFD"/>
    <w:rsid w:val="00A51263"/>
    <w:rsid w:val="00A51B95"/>
    <w:rsid w:val="00A5256D"/>
    <w:rsid w:val="00A5486B"/>
    <w:rsid w:val="00A54C36"/>
    <w:rsid w:val="00A556A2"/>
    <w:rsid w:val="00A55A81"/>
    <w:rsid w:val="00A55E25"/>
    <w:rsid w:val="00A57E34"/>
    <w:rsid w:val="00A604F6"/>
    <w:rsid w:val="00A612D3"/>
    <w:rsid w:val="00A623AC"/>
    <w:rsid w:val="00A637F3"/>
    <w:rsid w:val="00A63D5D"/>
    <w:rsid w:val="00A6406C"/>
    <w:rsid w:val="00A649ED"/>
    <w:rsid w:val="00A6622D"/>
    <w:rsid w:val="00A66A13"/>
    <w:rsid w:val="00A66D53"/>
    <w:rsid w:val="00A67B74"/>
    <w:rsid w:val="00A712ED"/>
    <w:rsid w:val="00A74ABB"/>
    <w:rsid w:val="00A76626"/>
    <w:rsid w:val="00A76BD0"/>
    <w:rsid w:val="00A77164"/>
    <w:rsid w:val="00A83479"/>
    <w:rsid w:val="00A84283"/>
    <w:rsid w:val="00A852AA"/>
    <w:rsid w:val="00A86647"/>
    <w:rsid w:val="00A87414"/>
    <w:rsid w:val="00A87517"/>
    <w:rsid w:val="00A901F8"/>
    <w:rsid w:val="00A90649"/>
    <w:rsid w:val="00A90930"/>
    <w:rsid w:val="00A922B5"/>
    <w:rsid w:val="00A94021"/>
    <w:rsid w:val="00A95E38"/>
    <w:rsid w:val="00A96A90"/>
    <w:rsid w:val="00A9777A"/>
    <w:rsid w:val="00A977ED"/>
    <w:rsid w:val="00AA0F0E"/>
    <w:rsid w:val="00AA14A0"/>
    <w:rsid w:val="00AA3F9B"/>
    <w:rsid w:val="00AA6465"/>
    <w:rsid w:val="00AA724F"/>
    <w:rsid w:val="00AB004A"/>
    <w:rsid w:val="00AB08E7"/>
    <w:rsid w:val="00AB121B"/>
    <w:rsid w:val="00AB134C"/>
    <w:rsid w:val="00AB1634"/>
    <w:rsid w:val="00AB165E"/>
    <w:rsid w:val="00AB425B"/>
    <w:rsid w:val="00AB5362"/>
    <w:rsid w:val="00AB786A"/>
    <w:rsid w:val="00AC0943"/>
    <w:rsid w:val="00AC1E2A"/>
    <w:rsid w:val="00AC3A97"/>
    <w:rsid w:val="00AC3AF7"/>
    <w:rsid w:val="00AC7209"/>
    <w:rsid w:val="00AC7F3F"/>
    <w:rsid w:val="00AD0A9C"/>
    <w:rsid w:val="00AD2AEC"/>
    <w:rsid w:val="00AD3ACD"/>
    <w:rsid w:val="00AD4534"/>
    <w:rsid w:val="00AD589B"/>
    <w:rsid w:val="00AD66F6"/>
    <w:rsid w:val="00AD6A4E"/>
    <w:rsid w:val="00AD6E72"/>
    <w:rsid w:val="00AD7A80"/>
    <w:rsid w:val="00AE43D2"/>
    <w:rsid w:val="00AE6CC2"/>
    <w:rsid w:val="00AF0A96"/>
    <w:rsid w:val="00AF168A"/>
    <w:rsid w:val="00AF2E13"/>
    <w:rsid w:val="00AF4002"/>
    <w:rsid w:val="00AF413F"/>
    <w:rsid w:val="00AF42EB"/>
    <w:rsid w:val="00AF43F0"/>
    <w:rsid w:val="00AF7024"/>
    <w:rsid w:val="00AF78AE"/>
    <w:rsid w:val="00AF7E9E"/>
    <w:rsid w:val="00B00BA0"/>
    <w:rsid w:val="00B01348"/>
    <w:rsid w:val="00B01914"/>
    <w:rsid w:val="00B02126"/>
    <w:rsid w:val="00B05C08"/>
    <w:rsid w:val="00B06D9A"/>
    <w:rsid w:val="00B07E6D"/>
    <w:rsid w:val="00B10538"/>
    <w:rsid w:val="00B10616"/>
    <w:rsid w:val="00B118A2"/>
    <w:rsid w:val="00B11FC2"/>
    <w:rsid w:val="00B136C1"/>
    <w:rsid w:val="00B14B77"/>
    <w:rsid w:val="00B177BB"/>
    <w:rsid w:val="00B1782E"/>
    <w:rsid w:val="00B233E1"/>
    <w:rsid w:val="00B23BF3"/>
    <w:rsid w:val="00B23E07"/>
    <w:rsid w:val="00B24F3F"/>
    <w:rsid w:val="00B2614B"/>
    <w:rsid w:val="00B27B3F"/>
    <w:rsid w:val="00B27F12"/>
    <w:rsid w:val="00B302C4"/>
    <w:rsid w:val="00B3070D"/>
    <w:rsid w:val="00B36256"/>
    <w:rsid w:val="00B427DA"/>
    <w:rsid w:val="00B43C93"/>
    <w:rsid w:val="00B44B47"/>
    <w:rsid w:val="00B44C2C"/>
    <w:rsid w:val="00B4538D"/>
    <w:rsid w:val="00B4544C"/>
    <w:rsid w:val="00B50344"/>
    <w:rsid w:val="00B51F7C"/>
    <w:rsid w:val="00B5348F"/>
    <w:rsid w:val="00B53498"/>
    <w:rsid w:val="00B54CAA"/>
    <w:rsid w:val="00B56C66"/>
    <w:rsid w:val="00B61125"/>
    <w:rsid w:val="00B6117B"/>
    <w:rsid w:val="00B63846"/>
    <w:rsid w:val="00B643D7"/>
    <w:rsid w:val="00B64C7B"/>
    <w:rsid w:val="00B671D8"/>
    <w:rsid w:val="00B673A2"/>
    <w:rsid w:val="00B67641"/>
    <w:rsid w:val="00B702AC"/>
    <w:rsid w:val="00B70A15"/>
    <w:rsid w:val="00B71DFB"/>
    <w:rsid w:val="00B7352B"/>
    <w:rsid w:val="00B73C13"/>
    <w:rsid w:val="00B74357"/>
    <w:rsid w:val="00B74B78"/>
    <w:rsid w:val="00B7535A"/>
    <w:rsid w:val="00B76748"/>
    <w:rsid w:val="00B77B8E"/>
    <w:rsid w:val="00B80DD0"/>
    <w:rsid w:val="00B81F20"/>
    <w:rsid w:val="00B82E28"/>
    <w:rsid w:val="00B87A7B"/>
    <w:rsid w:val="00B91C96"/>
    <w:rsid w:val="00B92368"/>
    <w:rsid w:val="00B93A6C"/>
    <w:rsid w:val="00B93BBE"/>
    <w:rsid w:val="00B96CCA"/>
    <w:rsid w:val="00BA43B1"/>
    <w:rsid w:val="00BA474B"/>
    <w:rsid w:val="00BA5C38"/>
    <w:rsid w:val="00BA6C6C"/>
    <w:rsid w:val="00BA7957"/>
    <w:rsid w:val="00BA7ADF"/>
    <w:rsid w:val="00BB10E7"/>
    <w:rsid w:val="00BB22B5"/>
    <w:rsid w:val="00BB3A8E"/>
    <w:rsid w:val="00BB3AF2"/>
    <w:rsid w:val="00BB3FE4"/>
    <w:rsid w:val="00BB4F91"/>
    <w:rsid w:val="00BB51EF"/>
    <w:rsid w:val="00BB641D"/>
    <w:rsid w:val="00BB6AB1"/>
    <w:rsid w:val="00BB7D90"/>
    <w:rsid w:val="00BC4D0A"/>
    <w:rsid w:val="00BC5BF2"/>
    <w:rsid w:val="00BC5D0D"/>
    <w:rsid w:val="00BC663D"/>
    <w:rsid w:val="00BC7413"/>
    <w:rsid w:val="00BD0235"/>
    <w:rsid w:val="00BD0683"/>
    <w:rsid w:val="00BD53FC"/>
    <w:rsid w:val="00BD5BB9"/>
    <w:rsid w:val="00BD60F9"/>
    <w:rsid w:val="00BD648E"/>
    <w:rsid w:val="00BD70A5"/>
    <w:rsid w:val="00BD72DA"/>
    <w:rsid w:val="00BE0930"/>
    <w:rsid w:val="00BE20A1"/>
    <w:rsid w:val="00BE287B"/>
    <w:rsid w:val="00BE7845"/>
    <w:rsid w:val="00BF008E"/>
    <w:rsid w:val="00BF185F"/>
    <w:rsid w:val="00BF1874"/>
    <w:rsid w:val="00BF2E74"/>
    <w:rsid w:val="00BF3CBE"/>
    <w:rsid w:val="00C01C6F"/>
    <w:rsid w:val="00C01CDD"/>
    <w:rsid w:val="00C01DF6"/>
    <w:rsid w:val="00C0317F"/>
    <w:rsid w:val="00C0453F"/>
    <w:rsid w:val="00C04E4B"/>
    <w:rsid w:val="00C078C9"/>
    <w:rsid w:val="00C12636"/>
    <w:rsid w:val="00C136A8"/>
    <w:rsid w:val="00C13C9D"/>
    <w:rsid w:val="00C13EAC"/>
    <w:rsid w:val="00C16252"/>
    <w:rsid w:val="00C172D8"/>
    <w:rsid w:val="00C17649"/>
    <w:rsid w:val="00C17AB8"/>
    <w:rsid w:val="00C2079D"/>
    <w:rsid w:val="00C224D2"/>
    <w:rsid w:val="00C275FD"/>
    <w:rsid w:val="00C277EC"/>
    <w:rsid w:val="00C278D0"/>
    <w:rsid w:val="00C27A58"/>
    <w:rsid w:val="00C36E07"/>
    <w:rsid w:val="00C372A7"/>
    <w:rsid w:val="00C40C7C"/>
    <w:rsid w:val="00C41E08"/>
    <w:rsid w:val="00C4206A"/>
    <w:rsid w:val="00C43503"/>
    <w:rsid w:val="00C4775C"/>
    <w:rsid w:val="00C50B4B"/>
    <w:rsid w:val="00C51CF7"/>
    <w:rsid w:val="00C51D6E"/>
    <w:rsid w:val="00C522FA"/>
    <w:rsid w:val="00C52A3A"/>
    <w:rsid w:val="00C53534"/>
    <w:rsid w:val="00C5353F"/>
    <w:rsid w:val="00C54DF1"/>
    <w:rsid w:val="00C55F82"/>
    <w:rsid w:val="00C55FDD"/>
    <w:rsid w:val="00C56213"/>
    <w:rsid w:val="00C56446"/>
    <w:rsid w:val="00C617F7"/>
    <w:rsid w:val="00C62747"/>
    <w:rsid w:val="00C63DD0"/>
    <w:rsid w:val="00C64B2E"/>
    <w:rsid w:val="00C6674F"/>
    <w:rsid w:val="00C67B86"/>
    <w:rsid w:val="00C67E1A"/>
    <w:rsid w:val="00C7095B"/>
    <w:rsid w:val="00C71321"/>
    <w:rsid w:val="00C713AC"/>
    <w:rsid w:val="00C71F96"/>
    <w:rsid w:val="00C73926"/>
    <w:rsid w:val="00C73D2C"/>
    <w:rsid w:val="00C76A94"/>
    <w:rsid w:val="00C7739B"/>
    <w:rsid w:val="00C77DD9"/>
    <w:rsid w:val="00C810AA"/>
    <w:rsid w:val="00C81E2E"/>
    <w:rsid w:val="00C82433"/>
    <w:rsid w:val="00C82C84"/>
    <w:rsid w:val="00C93094"/>
    <w:rsid w:val="00C94EA9"/>
    <w:rsid w:val="00C9601F"/>
    <w:rsid w:val="00C9634F"/>
    <w:rsid w:val="00C965CC"/>
    <w:rsid w:val="00C966F6"/>
    <w:rsid w:val="00CA052E"/>
    <w:rsid w:val="00CA1C47"/>
    <w:rsid w:val="00CA20AE"/>
    <w:rsid w:val="00CA2CE1"/>
    <w:rsid w:val="00CA400B"/>
    <w:rsid w:val="00CA4209"/>
    <w:rsid w:val="00CB02AB"/>
    <w:rsid w:val="00CB1BEF"/>
    <w:rsid w:val="00CB3861"/>
    <w:rsid w:val="00CB4D27"/>
    <w:rsid w:val="00CB78D0"/>
    <w:rsid w:val="00CB7EE3"/>
    <w:rsid w:val="00CC415C"/>
    <w:rsid w:val="00CC6577"/>
    <w:rsid w:val="00CC7A80"/>
    <w:rsid w:val="00CC7CE1"/>
    <w:rsid w:val="00CD0A0F"/>
    <w:rsid w:val="00CD0BF6"/>
    <w:rsid w:val="00CD54C0"/>
    <w:rsid w:val="00CE07F2"/>
    <w:rsid w:val="00CE3D4B"/>
    <w:rsid w:val="00CE5555"/>
    <w:rsid w:val="00CE6DED"/>
    <w:rsid w:val="00CE71C2"/>
    <w:rsid w:val="00CE7E18"/>
    <w:rsid w:val="00CE7F9F"/>
    <w:rsid w:val="00CF052A"/>
    <w:rsid w:val="00CF1CB5"/>
    <w:rsid w:val="00CF2121"/>
    <w:rsid w:val="00CF3522"/>
    <w:rsid w:val="00CF4005"/>
    <w:rsid w:val="00CF4E06"/>
    <w:rsid w:val="00D00217"/>
    <w:rsid w:val="00D00AEF"/>
    <w:rsid w:val="00D00C75"/>
    <w:rsid w:val="00D01B04"/>
    <w:rsid w:val="00D022EE"/>
    <w:rsid w:val="00D0491E"/>
    <w:rsid w:val="00D0661B"/>
    <w:rsid w:val="00D0732C"/>
    <w:rsid w:val="00D1172B"/>
    <w:rsid w:val="00D1597E"/>
    <w:rsid w:val="00D174BD"/>
    <w:rsid w:val="00D20143"/>
    <w:rsid w:val="00D2170F"/>
    <w:rsid w:val="00D24294"/>
    <w:rsid w:val="00D248AE"/>
    <w:rsid w:val="00D25223"/>
    <w:rsid w:val="00D30A7B"/>
    <w:rsid w:val="00D31384"/>
    <w:rsid w:val="00D34E0A"/>
    <w:rsid w:val="00D359D1"/>
    <w:rsid w:val="00D40889"/>
    <w:rsid w:val="00D41145"/>
    <w:rsid w:val="00D417EE"/>
    <w:rsid w:val="00D43DA1"/>
    <w:rsid w:val="00D449BF"/>
    <w:rsid w:val="00D45752"/>
    <w:rsid w:val="00D46977"/>
    <w:rsid w:val="00D469E3"/>
    <w:rsid w:val="00D47F27"/>
    <w:rsid w:val="00D50072"/>
    <w:rsid w:val="00D505C4"/>
    <w:rsid w:val="00D51099"/>
    <w:rsid w:val="00D528BC"/>
    <w:rsid w:val="00D53939"/>
    <w:rsid w:val="00D53E55"/>
    <w:rsid w:val="00D54493"/>
    <w:rsid w:val="00D55445"/>
    <w:rsid w:val="00D55454"/>
    <w:rsid w:val="00D6051F"/>
    <w:rsid w:val="00D605D1"/>
    <w:rsid w:val="00D61F6A"/>
    <w:rsid w:val="00D70D9A"/>
    <w:rsid w:val="00D715FB"/>
    <w:rsid w:val="00D730AE"/>
    <w:rsid w:val="00D73D09"/>
    <w:rsid w:val="00D74E40"/>
    <w:rsid w:val="00D75699"/>
    <w:rsid w:val="00D77986"/>
    <w:rsid w:val="00D810AF"/>
    <w:rsid w:val="00D81292"/>
    <w:rsid w:val="00D8277D"/>
    <w:rsid w:val="00D827D7"/>
    <w:rsid w:val="00D87CD7"/>
    <w:rsid w:val="00D90504"/>
    <w:rsid w:val="00D92CF0"/>
    <w:rsid w:val="00D93D36"/>
    <w:rsid w:val="00D95B85"/>
    <w:rsid w:val="00DA1ECA"/>
    <w:rsid w:val="00DA2069"/>
    <w:rsid w:val="00DA22BF"/>
    <w:rsid w:val="00DA498C"/>
    <w:rsid w:val="00DA52BA"/>
    <w:rsid w:val="00DA5C0F"/>
    <w:rsid w:val="00DA6262"/>
    <w:rsid w:val="00DB02F5"/>
    <w:rsid w:val="00DB090D"/>
    <w:rsid w:val="00DB1B60"/>
    <w:rsid w:val="00DB2BD2"/>
    <w:rsid w:val="00DB43A8"/>
    <w:rsid w:val="00DC1145"/>
    <w:rsid w:val="00DC1AEB"/>
    <w:rsid w:val="00DC1BB2"/>
    <w:rsid w:val="00DC20FD"/>
    <w:rsid w:val="00DC2277"/>
    <w:rsid w:val="00DC3B03"/>
    <w:rsid w:val="00DC51F4"/>
    <w:rsid w:val="00DC77CE"/>
    <w:rsid w:val="00DD08E8"/>
    <w:rsid w:val="00DD30AE"/>
    <w:rsid w:val="00DD49B9"/>
    <w:rsid w:val="00DD5C86"/>
    <w:rsid w:val="00DD62C4"/>
    <w:rsid w:val="00DD6A12"/>
    <w:rsid w:val="00DD76AB"/>
    <w:rsid w:val="00DD7A19"/>
    <w:rsid w:val="00DE01EA"/>
    <w:rsid w:val="00DE096E"/>
    <w:rsid w:val="00DE3D53"/>
    <w:rsid w:val="00DE7189"/>
    <w:rsid w:val="00DF04EB"/>
    <w:rsid w:val="00DF1E62"/>
    <w:rsid w:val="00DF3303"/>
    <w:rsid w:val="00DF478C"/>
    <w:rsid w:val="00DF4C36"/>
    <w:rsid w:val="00DF5598"/>
    <w:rsid w:val="00DF75A0"/>
    <w:rsid w:val="00E003E3"/>
    <w:rsid w:val="00E023A3"/>
    <w:rsid w:val="00E02A5A"/>
    <w:rsid w:val="00E05DCF"/>
    <w:rsid w:val="00E12A41"/>
    <w:rsid w:val="00E13D29"/>
    <w:rsid w:val="00E14C0D"/>
    <w:rsid w:val="00E162FC"/>
    <w:rsid w:val="00E16AF4"/>
    <w:rsid w:val="00E172D4"/>
    <w:rsid w:val="00E17A69"/>
    <w:rsid w:val="00E200FC"/>
    <w:rsid w:val="00E20F32"/>
    <w:rsid w:val="00E24FC7"/>
    <w:rsid w:val="00E256F7"/>
    <w:rsid w:val="00E25838"/>
    <w:rsid w:val="00E265D9"/>
    <w:rsid w:val="00E27B57"/>
    <w:rsid w:val="00E30994"/>
    <w:rsid w:val="00E32BDB"/>
    <w:rsid w:val="00E34BDB"/>
    <w:rsid w:val="00E3692F"/>
    <w:rsid w:val="00E36B14"/>
    <w:rsid w:val="00E41E1F"/>
    <w:rsid w:val="00E46BF4"/>
    <w:rsid w:val="00E46DC4"/>
    <w:rsid w:val="00E471EB"/>
    <w:rsid w:val="00E47CAB"/>
    <w:rsid w:val="00E50087"/>
    <w:rsid w:val="00E51127"/>
    <w:rsid w:val="00E514E0"/>
    <w:rsid w:val="00E545C4"/>
    <w:rsid w:val="00E551A8"/>
    <w:rsid w:val="00E55C8D"/>
    <w:rsid w:val="00E579DF"/>
    <w:rsid w:val="00E57C82"/>
    <w:rsid w:val="00E614E8"/>
    <w:rsid w:val="00E61BC7"/>
    <w:rsid w:val="00E61FF1"/>
    <w:rsid w:val="00E62A43"/>
    <w:rsid w:val="00E64D05"/>
    <w:rsid w:val="00E650F0"/>
    <w:rsid w:val="00E67659"/>
    <w:rsid w:val="00E72171"/>
    <w:rsid w:val="00E7405A"/>
    <w:rsid w:val="00E74072"/>
    <w:rsid w:val="00E74914"/>
    <w:rsid w:val="00E74B63"/>
    <w:rsid w:val="00E7552F"/>
    <w:rsid w:val="00E77BA5"/>
    <w:rsid w:val="00E81B97"/>
    <w:rsid w:val="00E83796"/>
    <w:rsid w:val="00E83DC5"/>
    <w:rsid w:val="00E854B0"/>
    <w:rsid w:val="00E86BA5"/>
    <w:rsid w:val="00E9211E"/>
    <w:rsid w:val="00E9313D"/>
    <w:rsid w:val="00EA693D"/>
    <w:rsid w:val="00EA6FDA"/>
    <w:rsid w:val="00EB2801"/>
    <w:rsid w:val="00EB367F"/>
    <w:rsid w:val="00EB5F6A"/>
    <w:rsid w:val="00EB6676"/>
    <w:rsid w:val="00EB6F73"/>
    <w:rsid w:val="00EB79F3"/>
    <w:rsid w:val="00EC355E"/>
    <w:rsid w:val="00EC4CB6"/>
    <w:rsid w:val="00EC4D5C"/>
    <w:rsid w:val="00EC522C"/>
    <w:rsid w:val="00EC5B7D"/>
    <w:rsid w:val="00ED1DA8"/>
    <w:rsid w:val="00ED2082"/>
    <w:rsid w:val="00ED2B48"/>
    <w:rsid w:val="00ED52D8"/>
    <w:rsid w:val="00ED5CAA"/>
    <w:rsid w:val="00ED6C79"/>
    <w:rsid w:val="00EE231C"/>
    <w:rsid w:val="00EE3A07"/>
    <w:rsid w:val="00EE51B4"/>
    <w:rsid w:val="00EE55E6"/>
    <w:rsid w:val="00EE67B1"/>
    <w:rsid w:val="00EE68A2"/>
    <w:rsid w:val="00EF08B3"/>
    <w:rsid w:val="00EF2987"/>
    <w:rsid w:val="00EF3484"/>
    <w:rsid w:val="00EF3C5F"/>
    <w:rsid w:val="00EF50E3"/>
    <w:rsid w:val="00EF55FD"/>
    <w:rsid w:val="00F035ED"/>
    <w:rsid w:val="00F045BB"/>
    <w:rsid w:val="00F05062"/>
    <w:rsid w:val="00F05D62"/>
    <w:rsid w:val="00F05F70"/>
    <w:rsid w:val="00F06851"/>
    <w:rsid w:val="00F10548"/>
    <w:rsid w:val="00F10A0D"/>
    <w:rsid w:val="00F11B5A"/>
    <w:rsid w:val="00F146A2"/>
    <w:rsid w:val="00F219B2"/>
    <w:rsid w:val="00F22975"/>
    <w:rsid w:val="00F247D6"/>
    <w:rsid w:val="00F24D9B"/>
    <w:rsid w:val="00F27888"/>
    <w:rsid w:val="00F30A39"/>
    <w:rsid w:val="00F326AB"/>
    <w:rsid w:val="00F32845"/>
    <w:rsid w:val="00F32947"/>
    <w:rsid w:val="00F35525"/>
    <w:rsid w:val="00F36785"/>
    <w:rsid w:val="00F36C49"/>
    <w:rsid w:val="00F37B21"/>
    <w:rsid w:val="00F42101"/>
    <w:rsid w:val="00F4283D"/>
    <w:rsid w:val="00F4521F"/>
    <w:rsid w:val="00F47321"/>
    <w:rsid w:val="00F47469"/>
    <w:rsid w:val="00F51466"/>
    <w:rsid w:val="00F51722"/>
    <w:rsid w:val="00F51D9D"/>
    <w:rsid w:val="00F56114"/>
    <w:rsid w:val="00F57C5B"/>
    <w:rsid w:val="00F62620"/>
    <w:rsid w:val="00F627E8"/>
    <w:rsid w:val="00F63A93"/>
    <w:rsid w:val="00F67326"/>
    <w:rsid w:val="00F71055"/>
    <w:rsid w:val="00F73B2F"/>
    <w:rsid w:val="00F74B0C"/>
    <w:rsid w:val="00F75FFA"/>
    <w:rsid w:val="00F779D7"/>
    <w:rsid w:val="00F80071"/>
    <w:rsid w:val="00F83F55"/>
    <w:rsid w:val="00F841A2"/>
    <w:rsid w:val="00F84748"/>
    <w:rsid w:val="00F85D1C"/>
    <w:rsid w:val="00F87DFE"/>
    <w:rsid w:val="00F90177"/>
    <w:rsid w:val="00F90DC0"/>
    <w:rsid w:val="00F91590"/>
    <w:rsid w:val="00F92D73"/>
    <w:rsid w:val="00F93028"/>
    <w:rsid w:val="00F94186"/>
    <w:rsid w:val="00F95A1C"/>
    <w:rsid w:val="00F95D31"/>
    <w:rsid w:val="00FA02FD"/>
    <w:rsid w:val="00FA12A9"/>
    <w:rsid w:val="00FA12F0"/>
    <w:rsid w:val="00FA1DFA"/>
    <w:rsid w:val="00FA26FC"/>
    <w:rsid w:val="00FA463C"/>
    <w:rsid w:val="00FA49F2"/>
    <w:rsid w:val="00FA5242"/>
    <w:rsid w:val="00FA577F"/>
    <w:rsid w:val="00FA58D7"/>
    <w:rsid w:val="00FA5F29"/>
    <w:rsid w:val="00FA7BCC"/>
    <w:rsid w:val="00FB2F08"/>
    <w:rsid w:val="00FB4536"/>
    <w:rsid w:val="00FB4822"/>
    <w:rsid w:val="00FB4F51"/>
    <w:rsid w:val="00FB5565"/>
    <w:rsid w:val="00FC0237"/>
    <w:rsid w:val="00FC185B"/>
    <w:rsid w:val="00FC3093"/>
    <w:rsid w:val="00FC34B0"/>
    <w:rsid w:val="00FC3DAD"/>
    <w:rsid w:val="00FC7075"/>
    <w:rsid w:val="00FC7B41"/>
    <w:rsid w:val="00FD091F"/>
    <w:rsid w:val="00FD0F76"/>
    <w:rsid w:val="00FD1677"/>
    <w:rsid w:val="00FD480A"/>
    <w:rsid w:val="00FD4859"/>
    <w:rsid w:val="00FD5668"/>
    <w:rsid w:val="00FD6686"/>
    <w:rsid w:val="00FE0BE1"/>
    <w:rsid w:val="00FE2050"/>
    <w:rsid w:val="00FE3374"/>
    <w:rsid w:val="00FE3436"/>
    <w:rsid w:val="00FE4741"/>
    <w:rsid w:val="00FE5AFE"/>
    <w:rsid w:val="00FE7550"/>
    <w:rsid w:val="00FF1C39"/>
    <w:rsid w:val="00FF2A27"/>
    <w:rsid w:val="00FF2B5C"/>
    <w:rsid w:val="00FF2E87"/>
    <w:rsid w:val="00FF4187"/>
    <w:rsid w:val="00FF7810"/>
    <w:rsid w:val="01056D4D"/>
    <w:rsid w:val="014A102B"/>
    <w:rsid w:val="018C33F1"/>
    <w:rsid w:val="02597335"/>
    <w:rsid w:val="02DC2156"/>
    <w:rsid w:val="02E176C3"/>
    <w:rsid w:val="0436774E"/>
    <w:rsid w:val="04385934"/>
    <w:rsid w:val="04651CD8"/>
    <w:rsid w:val="061E5402"/>
    <w:rsid w:val="06935222"/>
    <w:rsid w:val="070A0106"/>
    <w:rsid w:val="077C1377"/>
    <w:rsid w:val="07ED5A9B"/>
    <w:rsid w:val="084173FE"/>
    <w:rsid w:val="086A51D5"/>
    <w:rsid w:val="08E65ADD"/>
    <w:rsid w:val="093C4A1A"/>
    <w:rsid w:val="0B5010BD"/>
    <w:rsid w:val="0B6D66B4"/>
    <w:rsid w:val="0BB47F56"/>
    <w:rsid w:val="0CA86C70"/>
    <w:rsid w:val="0D617958"/>
    <w:rsid w:val="0D8E2200"/>
    <w:rsid w:val="0F6D7F78"/>
    <w:rsid w:val="0FFF7765"/>
    <w:rsid w:val="106714FD"/>
    <w:rsid w:val="10684732"/>
    <w:rsid w:val="10702130"/>
    <w:rsid w:val="10906235"/>
    <w:rsid w:val="10F963D2"/>
    <w:rsid w:val="1106338B"/>
    <w:rsid w:val="1176055B"/>
    <w:rsid w:val="11CD5A7D"/>
    <w:rsid w:val="11D80DB9"/>
    <w:rsid w:val="12C0114D"/>
    <w:rsid w:val="12C54F8C"/>
    <w:rsid w:val="132A2A6A"/>
    <w:rsid w:val="152116AB"/>
    <w:rsid w:val="15791A87"/>
    <w:rsid w:val="18062212"/>
    <w:rsid w:val="181E3049"/>
    <w:rsid w:val="184D72FF"/>
    <w:rsid w:val="185920F0"/>
    <w:rsid w:val="185D0B54"/>
    <w:rsid w:val="187629B3"/>
    <w:rsid w:val="18E436BB"/>
    <w:rsid w:val="19B00003"/>
    <w:rsid w:val="19EE22D6"/>
    <w:rsid w:val="1A7C0A2A"/>
    <w:rsid w:val="1B34422A"/>
    <w:rsid w:val="1B367D78"/>
    <w:rsid w:val="1B4072CF"/>
    <w:rsid w:val="1BC25F36"/>
    <w:rsid w:val="1C0E5EA2"/>
    <w:rsid w:val="1CCA3F12"/>
    <w:rsid w:val="1CDB5B8A"/>
    <w:rsid w:val="1D5A2A54"/>
    <w:rsid w:val="1D675013"/>
    <w:rsid w:val="1DB30459"/>
    <w:rsid w:val="1DFF2E17"/>
    <w:rsid w:val="1E3902B6"/>
    <w:rsid w:val="1E5B7F7C"/>
    <w:rsid w:val="1EB65F91"/>
    <w:rsid w:val="1EEC6415"/>
    <w:rsid w:val="1F1D3F4A"/>
    <w:rsid w:val="1F7C3555"/>
    <w:rsid w:val="1F9A5C92"/>
    <w:rsid w:val="1FBD066C"/>
    <w:rsid w:val="1FEA15B7"/>
    <w:rsid w:val="203F4687"/>
    <w:rsid w:val="21355D04"/>
    <w:rsid w:val="221E5268"/>
    <w:rsid w:val="22584E97"/>
    <w:rsid w:val="22B61E52"/>
    <w:rsid w:val="23857905"/>
    <w:rsid w:val="23963804"/>
    <w:rsid w:val="23DC41FF"/>
    <w:rsid w:val="24573126"/>
    <w:rsid w:val="24EB3D0A"/>
    <w:rsid w:val="25360DBB"/>
    <w:rsid w:val="259E6B32"/>
    <w:rsid w:val="25D87226"/>
    <w:rsid w:val="26176119"/>
    <w:rsid w:val="270E5A3F"/>
    <w:rsid w:val="27322217"/>
    <w:rsid w:val="27E508C6"/>
    <w:rsid w:val="27EC52E2"/>
    <w:rsid w:val="28E079FB"/>
    <w:rsid w:val="28E70DCF"/>
    <w:rsid w:val="28F3685E"/>
    <w:rsid w:val="29FA3EA1"/>
    <w:rsid w:val="2A307D13"/>
    <w:rsid w:val="2B1B738C"/>
    <w:rsid w:val="2BDE3F9A"/>
    <w:rsid w:val="2C4C3255"/>
    <w:rsid w:val="2DD73204"/>
    <w:rsid w:val="2E3205EC"/>
    <w:rsid w:val="2E593148"/>
    <w:rsid w:val="2ECC42FF"/>
    <w:rsid w:val="2EF266DA"/>
    <w:rsid w:val="300B69D7"/>
    <w:rsid w:val="313C0C95"/>
    <w:rsid w:val="31A60987"/>
    <w:rsid w:val="31BE4341"/>
    <w:rsid w:val="31C529DD"/>
    <w:rsid w:val="320768AD"/>
    <w:rsid w:val="329316B4"/>
    <w:rsid w:val="33446DD8"/>
    <w:rsid w:val="339B5843"/>
    <w:rsid w:val="33BE15F8"/>
    <w:rsid w:val="346A286F"/>
    <w:rsid w:val="34CC52D7"/>
    <w:rsid w:val="3583738A"/>
    <w:rsid w:val="35C600EF"/>
    <w:rsid w:val="36240EE4"/>
    <w:rsid w:val="36334917"/>
    <w:rsid w:val="36A209E6"/>
    <w:rsid w:val="36EA5EE9"/>
    <w:rsid w:val="37F05781"/>
    <w:rsid w:val="37FF55C1"/>
    <w:rsid w:val="38452C8B"/>
    <w:rsid w:val="3A21431D"/>
    <w:rsid w:val="3A455EDE"/>
    <w:rsid w:val="3B1D063B"/>
    <w:rsid w:val="3B98601C"/>
    <w:rsid w:val="3CFE26EE"/>
    <w:rsid w:val="3E0B6E94"/>
    <w:rsid w:val="3E95498C"/>
    <w:rsid w:val="3F1B462E"/>
    <w:rsid w:val="40333E8A"/>
    <w:rsid w:val="403E1BD6"/>
    <w:rsid w:val="415B0D6E"/>
    <w:rsid w:val="41CC05FD"/>
    <w:rsid w:val="43750AA7"/>
    <w:rsid w:val="43C910E5"/>
    <w:rsid w:val="44AB5EA3"/>
    <w:rsid w:val="453E2817"/>
    <w:rsid w:val="45CA7E9E"/>
    <w:rsid w:val="45D16BF2"/>
    <w:rsid w:val="46BE6D61"/>
    <w:rsid w:val="470E0B9A"/>
    <w:rsid w:val="47451645"/>
    <w:rsid w:val="4806532E"/>
    <w:rsid w:val="48794378"/>
    <w:rsid w:val="49A03669"/>
    <w:rsid w:val="4A1B48DF"/>
    <w:rsid w:val="4AF5211C"/>
    <w:rsid w:val="4AF67FFE"/>
    <w:rsid w:val="4AF93F77"/>
    <w:rsid w:val="4B017BA2"/>
    <w:rsid w:val="4B1331CA"/>
    <w:rsid w:val="4B3F76E2"/>
    <w:rsid w:val="4BFE6267"/>
    <w:rsid w:val="4C586398"/>
    <w:rsid w:val="4E321EE4"/>
    <w:rsid w:val="4E80477A"/>
    <w:rsid w:val="4F305D86"/>
    <w:rsid w:val="4FAF73E7"/>
    <w:rsid w:val="502879E9"/>
    <w:rsid w:val="503D2D19"/>
    <w:rsid w:val="506F6EF4"/>
    <w:rsid w:val="51567606"/>
    <w:rsid w:val="51784E08"/>
    <w:rsid w:val="52EC7737"/>
    <w:rsid w:val="5320731F"/>
    <w:rsid w:val="54134879"/>
    <w:rsid w:val="54134F10"/>
    <w:rsid w:val="549A7E48"/>
    <w:rsid w:val="54AE7D0D"/>
    <w:rsid w:val="55162D43"/>
    <w:rsid w:val="55866255"/>
    <w:rsid w:val="56193480"/>
    <w:rsid w:val="56E67840"/>
    <w:rsid w:val="571050A0"/>
    <w:rsid w:val="572D4A8C"/>
    <w:rsid w:val="57692F5E"/>
    <w:rsid w:val="577061CC"/>
    <w:rsid w:val="57981756"/>
    <w:rsid w:val="58135C12"/>
    <w:rsid w:val="581954C0"/>
    <w:rsid w:val="58EB36CF"/>
    <w:rsid w:val="59163FD1"/>
    <w:rsid w:val="5973779D"/>
    <w:rsid w:val="597F50DA"/>
    <w:rsid w:val="5A1E1DD1"/>
    <w:rsid w:val="5A235549"/>
    <w:rsid w:val="5A5B1017"/>
    <w:rsid w:val="5ABC17C7"/>
    <w:rsid w:val="5B2A303A"/>
    <w:rsid w:val="5C1B2787"/>
    <w:rsid w:val="5C704495"/>
    <w:rsid w:val="5C8D0A78"/>
    <w:rsid w:val="5D511432"/>
    <w:rsid w:val="5DC866D4"/>
    <w:rsid w:val="5E67144F"/>
    <w:rsid w:val="5EAC1B52"/>
    <w:rsid w:val="5EFF59DC"/>
    <w:rsid w:val="5F803FE1"/>
    <w:rsid w:val="5F9A7715"/>
    <w:rsid w:val="604A5F04"/>
    <w:rsid w:val="62595B4D"/>
    <w:rsid w:val="646D0AA2"/>
    <w:rsid w:val="65742DB8"/>
    <w:rsid w:val="65BF643D"/>
    <w:rsid w:val="66570054"/>
    <w:rsid w:val="67136644"/>
    <w:rsid w:val="67362EDD"/>
    <w:rsid w:val="67751B47"/>
    <w:rsid w:val="67DC1F4A"/>
    <w:rsid w:val="68196220"/>
    <w:rsid w:val="68231395"/>
    <w:rsid w:val="685A5DC3"/>
    <w:rsid w:val="68A45470"/>
    <w:rsid w:val="68B5417D"/>
    <w:rsid w:val="6949691B"/>
    <w:rsid w:val="694F3E54"/>
    <w:rsid w:val="69A24B1E"/>
    <w:rsid w:val="69DC7360"/>
    <w:rsid w:val="69E14DA6"/>
    <w:rsid w:val="69FB135D"/>
    <w:rsid w:val="6A8B0855"/>
    <w:rsid w:val="6B6F7CDC"/>
    <w:rsid w:val="6BEF0449"/>
    <w:rsid w:val="6BF57CC8"/>
    <w:rsid w:val="6C5418C3"/>
    <w:rsid w:val="6C81461E"/>
    <w:rsid w:val="6CAA332D"/>
    <w:rsid w:val="6CC53FB9"/>
    <w:rsid w:val="6D336EF2"/>
    <w:rsid w:val="6D7361B0"/>
    <w:rsid w:val="6E1B34C3"/>
    <w:rsid w:val="6E583FBA"/>
    <w:rsid w:val="6E7B757D"/>
    <w:rsid w:val="6E925C1B"/>
    <w:rsid w:val="6FDA7B27"/>
    <w:rsid w:val="700B3B1D"/>
    <w:rsid w:val="707D0784"/>
    <w:rsid w:val="70840239"/>
    <w:rsid w:val="715E5875"/>
    <w:rsid w:val="727141AC"/>
    <w:rsid w:val="72F77061"/>
    <w:rsid w:val="745A5E80"/>
    <w:rsid w:val="74847C64"/>
    <w:rsid w:val="75950833"/>
    <w:rsid w:val="75BB540A"/>
    <w:rsid w:val="75C775BD"/>
    <w:rsid w:val="76CC0B8C"/>
    <w:rsid w:val="770F0EBA"/>
    <w:rsid w:val="777A0AF8"/>
    <w:rsid w:val="78606F22"/>
    <w:rsid w:val="78A64C6D"/>
    <w:rsid w:val="797766EA"/>
    <w:rsid w:val="79A70C00"/>
    <w:rsid w:val="79C124FE"/>
    <w:rsid w:val="79D63CB2"/>
    <w:rsid w:val="79FD0A32"/>
    <w:rsid w:val="7BA26898"/>
    <w:rsid w:val="7BD56B22"/>
    <w:rsid w:val="7C2B256E"/>
    <w:rsid w:val="7D8A5A68"/>
    <w:rsid w:val="7E6221FC"/>
    <w:rsid w:val="7FFD6B69"/>
    <w:rsid w:val="DB469EB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3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2"/>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7"/>
    <w:qFormat/>
    <w:uiPriority w:val="9"/>
    <w:pPr>
      <w:keepNext/>
      <w:keepLines/>
      <w:numPr>
        <w:ilvl w:val="0"/>
        <w:numId w:val="1"/>
      </w:numPr>
      <w:spacing w:before="260" w:after="260" w:line="416" w:lineRule="auto"/>
      <w:outlineLvl w:val="2"/>
    </w:pPr>
    <w:rPr>
      <w:b/>
      <w:bCs/>
      <w:sz w:val="32"/>
      <w:szCs w:val="32"/>
    </w:rPr>
  </w:style>
  <w:style w:type="paragraph" w:styleId="5">
    <w:name w:val="heading 4"/>
    <w:basedOn w:val="1"/>
    <w:next w:val="1"/>
    <w:link w:val="21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8"/>
    <w:semiHidden/>
    <w:unhideWhenUsed/>
    <w:qFormat/>
    <w:uiPriority w:val="9"/>
    <w:pPr>
      <w:keepNext/>
      <w:keepLines/>
      <w:spacing w:before="280" w:after="290" w:line="376" w:lineRule="auto"/>
      <w:outlineLvl w:val="4"/>
    </w:pPr>
    <w:rPr>
      <w:rFonts w:asciiTheme="minorHAnsi" w:hAnsiTheme="minorHAnsi" w:eastAsiaTheme="minorEastAsia" w:cstheme="minorBidi"/>
      <w:b/>
      <w:bCs/>
      <w:kern w:val="2"/>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99"/>
    <w:pPr>
      <w:ind w:firstLine="482"/>
    </w:pPr>
  </w:style>
  <w:style w:type="paragraph" w:styleId="8">
    <w:name w:val="Document Map"/>
    <w:basedOn w:val="1"/>
    <w:link w:val="35"/>
    <w:semiHidden/>
    <w:unhideWhenUsed/>
    <w:qFormat/>
    <w:uiPriority w:val="99"/>
    <w:rPr>
      <w:rFonts w:ascii="宋体"/>
      <w:sz w:val="18"/>
      <w:szCs w:val="18"/>
    </w:rPr>
  </w:style>
  <w:style w:type="paragraph" w:styleId="9">
    <w:name w:val="annotation text"/>
    <w:basedOn w:val="1"/>
    <w:link w:val="75"/>
    <w:unhideWhenUsed/>
    <w:qFormat/>
    <w:uiPriority w:val="99"/>
    <w:pPr>
      <w:jc w:val="left"/>
    </w:pPr>
    <w:rPr>
      <w:rFonts w:asciiTheme="minorHAnsi" w:hAnsiTheme="minorHAnsi" w:eastAsiaTheme="minorEastAsia" w:cstheme="minorBidi"/>
      <w:kern w:val="2"/>
      <w:sz w:val="21"/>
      <w:szCs w:val="22"/>
    </w:rPr>
  </w:style>
  <w:style w:type="paragraph" w:styleId="10">
    <w:name w:val="Body Text Indent"/>
    <w:basedOn w:val="1"/>
    <w:link w:val="76"/>
    <w:semiHidden/>
    <w:unhideWhenUsed/>
    <w:qFormat/>
    <w:uiPriority w:val="99"/>
    <w:pPr>
      <w:spacing w:after="120"/>
      <w:ind w:left="420" w:leftChars="200"/>
    </w:pPr>
    <w:rPr>
      <w:rFonts w:asciiTheme="minorHAnsi" w:hAnsiTheme="minorHAnsi" w:eastAsiaTheme="minorEastAsia" w:cstheme="minorBidi"/>
      <w:kern w:val="2"/>
      <w:sz w:val="21"/>
      <w:szCs w:val="22"/>
    </w:rPr>
  </w:style>
  <w:style w:type="paragraph" w:styleId="11">
    <w:name w:val="Date"/>
    <w:basedOn w:val="1"/>
    <w:next w:val="1"/>
    <w:link w:val="77"/>
    <w:semiHidden/>
    <w:unhideWhenUsed/>
    <w:qFormat/>
    <w:uiPriority w:val="99"/>
    <w:pPr>
      <w:ind w:left="100" w:leftChars="2500"/>
    </w:pPr>
    <w:rPr>
      <w:rFonts w:asciiTheme="minorHAnsi" w:hAnsiTheme="minorHAnsi" w:eastAsiaTheme="minorEastAsia" w:cstheme="minorBidi"/>
      <w:kern w:val="2"/>
      <w:sz w:val="21"/>
      <w:szCs w:val="22"/>
    </w:rPr>
  </w:style>
  <w:style w:type="paragraph" w:styleId="12">
    <w:name w:val="Body Text Indent 2"/>
    <w:basedOn w:val="1"/>
    <w:link w:val="134"/>
    <w:unhideWhenUsed/>
    <w:qFormat/>
    <w:uiPriority w:val="99"/>
    <w:pPr>
      <w:spacing w:after="120" w:line="480" w:lineRule="auto"/>
      <w:ind w:left="420" w:leftChars="200"/>
    </w:pPr>
    <w:rPr>
      <w:rFonts w:asciiTheme="minorHAnsi" w:hAnsiTheme="minorHAnsi" w:cstheme="minorBidi"/>
    </w:rPr>
  </w:style>
  <w:style w:type="paragraph" w:styleId="13">
    <w:name w:val="Balloon Text"/>
    <w:basedOn w:val="1"/>
    <w:link w:val="81"/>
    <w:semiHidden/>
    <w:unhideWhenUsed/>
    <w:qFormat/>
    <w:uiPriority w:val="99"/>
    <w:rPr>
      <w:sz w:val="18"/>
      <w:szCs w:val="18"/>
    </w:rPr>
  </w:style>
  <w:style w:type="paragraph" w:styleId="14">
    <w:name w:val="footer"/>
    <w:basedOn w:val="1"/>
    <w:link w:val="32"/>
    <w:unhideWhenUsed/>
    <w:qFormat/>
    <w:uiPriority w:val="99"/>
    <w:pPr>
      <w:tabs>
        <w:tab w:val="center" w:pos="4153"/>
        <w:tab w:val="right" w:pos="8306"/>
      </w:tabs>
      <w:snapToGrid w:val="0"/>
      <w:jc w:val="left"/>
    </w:pPr>
    <w:rPr>
      <w:sz w:val="18"/>
      <w:szCs w:val="18"/>
    </w:rPr>
  </w:style>
  <w:style w:type="paragraph" w:styleId="15">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rPr>
      <w:rFonts w:eastAsia="黑体" w:asciiTheme="minorHAnsi" w:hAnsiTheme="minorHAnsi" w:cstheme="minorBidi"/>
      <w:kern w:val="2"/>
      <w:sz w:val="32"/>
      <w:szCs w:val="22"/>
    </w:rPr>
  </w:style>
  <w:style w:type="paragraph" w:styleId="17">
    <w:name w:val="footnote text"/>
    <w:basedOn w:val="1"/>
    <w:link w:val="74"/>
    <w:semiHidden/>
    <w:unhideWhenUsed/>
    <w:qFormat/>
    <w:uiPriority w:val="99"/>
    <w:pPr>
      <w:snapToGrid w:val="0"/>
      <w:jc w:val="left"/>
    </w:pPr>
    <w:rPr>
      <w:sz w:val="18"/>
      <w:szCs w:val="18"/>
    </w:rPr>
  </w:style>
  <w:style w:type="paragraph" w:styleId="18">
    <w:name w:val="toc 2"/>
    <w:basedOn w:val="1"/>
    <w:next w:val="1"/>
    <w:unhideWhenUsed/>
    <w:qFormat/>
    <w:uiPriority w:val="39"/>
    <w:pPr>
      <w:ind w:left="420" w:leftChars="200"/>
    </w:pPr>
    <w:rPr>
      <w:rFonts w:eastAsia="楷体" w:asciiTheme="minorHAnsi" w:hAnsiTheme="minorHAnsi" w:cstheme="minorBidi"/>
      <w:kern w:val="2"/>
      <w:sz w:val="32"/>
      <w:szCs w:val="22"/>
    </w:rPr>
  </w:style>
  <w:style w:type="paragraph" w:styleId="19">
    <w:name w:val="HTML Preformatted"/>
    <w:basedOn w:val="1"/>
    <w:link w:val="79"/>
    <w:qFormat/>
    <w:uiPriority w:val="99"/>
    <w:rPr>
      <w:rFonts w:ascii="Courier New" w:hAnsi="Courier New"/>
    </w:rPr>
  </w:style>
  <w:style w:type="paragraph" w:styleId="20">
    <w:name w:val="Normal (Web)"/>
    <w:basedOn w:val="1"/>
    <w:semiHidden/>
    <w:unhideWhenUsed/>
    <w:qFormat/>
    <w:uiPriority w:val="99"/>
    <w:pPr>
      <w:widowControl/>
      <w:spacing w:before="100" w:beforeAutospacing="1" w:after="100" w:afterAutospacing="1"/>
      <w:jc w:val="left"/>
    </w:pPr>
    <w:rPr>
      <w:rFonts w:ascii="宋体" w:hAnsi="宋体" w:cs="宋体"/>
      <w:sz w:val="24"/>
      <w:szCs w:val="24"/>
    </w:rPr>
  </w:style>
  <w:style w:type="paragraph" w:styleId="21">
    <w:name w:val="annotation subject"/>
    <w:basedOn w:val="9"/>
    <w:next w:val="9"/>
    <w:link w:val="80"/>
    <w:semiHidden/>
    <w:unhideWhenUsed/>
    <w:qFormat/>
    <w:uiPriority w:val="99"/>
    <w:rPr>
      <w:rFonts w:ascii="Times New Roman" w:hAnsi="Times New Roman" w:eastAsia="宋体" w:cs="Times New Roman"/>
      <w:b/>
      <w:bCs/>
      <w:kern w:val="0"/>
      <w:sz w:val="20"/>
      <w:szCs w:val="20"/>
    </w:rPr>
  </w:style>
  <w:style w:type="paragraph" w:styleId="22">
    <w:name w:val="Body Text First Indent 2"/>
    <w:basedOn w:val="10"/>
    <w:link w:val="78"/>
    <w:qFormat/>
    <w:uiPriority w:val="0"/>
    <w:pPr>
      <w:spacing w:line="360" w:lineRule="auto"/>
      <w:ind w:firstLine="480" w:firstLineChars="200"/>
    </w:pPr>
    <w:rPr>
      <w:rFonts w:ascii="Times New Roman" w:hAnsi="Times New Roman" w:eastAsia="宋体" w:cs="Times New Roman"/>
      <w:sz w:val="24"/>
      <w:szCs w:val="24"/>
    </w:rPr>
  </w:style>
  <w:style w:type="table" w:styleId="24">
    <w:name w:val="Table Grid"/>
    <w:basedOn w:val="23"/>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style>
  <w:style w:type="character" w:styleId="27">
    <w:name w:val="FollowedHyperlink"/>
    <w:basedOn w:val="25"/>
    <w:semiHidden/>
    <w:unhideWhenUsed/>
    <w:qFormat/>
    <w:uiPriority w:val="99"/>
    <w:rPr>
      <w:color w:val="800080"/>
      <w:u w:val="single"/>
    </w:rPr>
  </w:style>
  <w:style w:type="character" w:styleId="28">
    <w:name w:val="Hyperlink"/>
    <w:basedOn w:val="25"/>
    <w:unhideWhenUsed/>
    <w:qFormat/>
    <w:uiPriority w:val="99"/>
    <w:rPr>
      <w:color w:val="0000FF" w:themeColor="hyperlink"/>
      <w:u w:val="single"/>
      <w14:textFill>
        <w14:solidFill>
          <w14:schemeClr w14:val="hlink"/>
        </w14:solidFill>
      </w14:textFill>
    </w:rPr>
  </w:style>
  <w:style w:type="character" w:styleId="29">
    <w:name w:val="annotation reference"/>
    <w:basedOn w:val="25"/>
    <w:unhideWhenUsed/>
    <w:qFormat/>
    <w:uiPriority w:val="0"/>
    <w:rPr>
      <w:sz w:val="21"/>
      <w:szCs w:val="21"/>
    </w:rPr>
  </w:style>
  <w:style w:type="character" w:styleId="30">
    <w:name w:val="footnote reference"/>
    <w:basedOn w:val="25"/>
    <w:semiHidden/>
    <w:unhideWhenUsed/>
    <w:qFormat/>
    <w:uiPriority w:val="99"/>
    <w:rPr>
      <w:vertAlign w:val="superscript"/>
    </w:rPr>
  </w:style>
  <w:style w:type="character" w:customStyle="1" w:styleId="31">
    <w:name w:val="页眉 字符"/>
    <w:basedOn w:val="25"/>
    <w:link w:val="15"/>
    <w:qFormat/>
    <w:uiPriority w:val="99"/>
    <w:rPr>
      <w:sz w:val="18"/>
      <w:szCs w:val="18"/>
    </w:rPr>
  </w:style>
  <w:style w:type="character" w:customStyle="1" w:styleId="32">
    <w:name w:val="页脚 字符"/>
    <w:basedOn w:val="25"/>
    <w:link w:val="14"/>
    <w:qFormat/>
    <w:uiPriority w:val="99"/>
    <w:rPr>
      <w:sz w:val="18"/>
      <w:szCs w:val="18"/>
    </w:rPr>
  </w:style>
  <w:style w:type="paragraph" w:customStyle="1" w:styleId="33">
    <w:name w:val="DTX-01"/>
    <w:basedOn w:val="34"/>
    <w:link w:val="59"/>
    <w:qFormat/>
    <w:uiPriority w:val="0"/>
    <w:pPr>
      <w:tabs>
        <w:tab w:val="left" w:pos="-180"/>
      </w:tabs>
      <w:spacing w:before="156" w:beforeLines="50" w:after="156" w:afterLines="50" w:line="760" w:lineRule="exact"/>
      <w:outlineLvl w:val="0"/>
    </w:pPr>
    <w:rPr>
      <w:rFonts w:ascii="黑体" w:hAnsi="黑体" w:eastAsia="黑体"/>
      <w:bCs/>
    </w:rPr>
  </w:style>
  <w:style w:type="paragraph" w:customStyle="1" w:styleId="34">
    <w:name w:val="DTX-02"/>
    <w:basedOn w:val="1"/>
    <w:link w:val="58"/>
    <w:qFormat/>
    <w:uiPriority w:val="0"/>
    <w:pPr>
      <w:tabs>
        <w:tab w:val="left" w:pos="-180"/>
      </w:tabs>
      <w:adjustRightInd w:val="0"/>
      <w:snapToGrid w:val="0"/>
      <w:spacing w:line="600" w:lineRule="exact"/>
      <w:ind w:firstLine="643" w:firstLineChars="200"/>
      <w:jc w:val="left"/>
      <w:outlineLvl w:val="1"/>
    </w:pPr>
    <w:rPr>
      <w:rFonts w:eastAsia="仿宋_GB2312"/>
      <w:b/>
      <w:kern w:val="2"/>
      <w:sz w:val="32"/>
    </w:rPr>
  </w:style>
  <w:style w:type="character" w:customStyle="1" w:styleId="35">
    <w:name w:val="文档结构图 字符"/>
    <w:basedOn w:val="25"/>
    <w:link w:val="8"/>
    <w:semiHidden/>
    <w:qFormat/>
    <w:uiPriority w:val="99"/>
    <w:rPr>
      <w:rFonts w:ascii="宋体" w:eastAsia="宋体"/>
      <w:sz w:val="18"/>
      <w:szCs w:val="18"/>
    </w:rPr>
  </w:style>
  <w:style w:type="character" w:customStyle="1" w:styleId="36">
    <w:name w:val="标题 1 字符"/>
    <w:basedOn w:val="25"/>
    <w:link w:val="2"/>
    <w:qFormat/>
    <w:uiPriority w:val="9"/>
    <w:rPr>
      <w:b/>
      <w:bCs/>
      <w:kern w:val="44"/>
      <w:sz w:val="44"/>
      <w:szCs w:val="44"/>
    </w:rPr>
  </w:style>
  <w:style w:type="character" w:customStyle="1" w:styleId="37">
    <w:name w:val="标题 3 字符"/>
    <w:basedOn w:val="25"/>
    <w:link w:val="4"/>
    <w:qFormat/>
    <w:uiPriority w:val="9"/>
    <w:rPr>
      <w:b/>
      <w:bCs/>
      <w:sz w:val="32"/>
      <w:szCs w:val="32"/>
    </w:rPr>
  </w:style>
  <w:style w:type="character" w:customStyle="1" w:styleId="38">
    <w:name w:val="标题 5 字符"/>
    <w:basedOn w:val="25"/>
    <w:link w:val="6"/>
    <w:semiHidden/>
    <w:qFormat/>
    <w:uiPriority w:val="9"/>
    <w:rPr>
      <w:rFonts w:asciiTheme="minorHAnsi" w:hAnsiTheme="minorHAnsi" w:eastAsiaTheme="minorEastAsia" w:cstheme="minorBidi"/>
      <w:b/>
      <w:bCs/>
      <w:kern w:val="2"/>
      <w:sz w:val="28"/>
      <w:szCs w:val="28"/>
    </w:rPr>
  </w:style>
  <w:style w:type="paragraph" w:customStyle="1" w:styleId="39">
    <w:name w:val="TOC 标题1"/>
    <w:basedOn w:val="2"/>
    <w:next w:val="1"/>
    <w:semiHidden/>
    <w:unhideWhenUsed/>
    <w:qFormat/>
    <w:uiPriority w:val="39"/>
    <w:pPr>
      <w:outlineLvl w:val="9"/>
    </w:pPr>
    <w:rPr>
      <w:rFonts w:asciiTheme="minorHAnsi" w:hAnsiTheme="minorHAnsi" w:eastAsiaTheme="minorEastAsia" w:cstheme="minorBidi"/>
    </w:rPr>
  </w:style>
  <w:style w:type="paragraph" w:customStyle="1" w:styleId="40">
    <w:name w:val="BS-T"/>
    <w:qFormat/>
    <w:uiPriority w:val="0"/>
    <w:pPr>
      <w:widowControl w:val="0"/>
      <w:adjustRightInd w:val="0"/>
      <w:snapToGrid w:val="0"/>
      <w:jc w:val="center"/>
    </w:pPr>
    <w:rPr>
      <w:rFonts w:ascii="Times New Roman" w:hAnsi="Times New Roman" w:eastAsia="黑体" w:cs="Times New Roman"/>
      <w:sz w:val="24"/>
      <w:lang w:val="en-US" w:eastAsia="zh-CN" w:bidi="ar-SA"/>
    </w:rPr>
  </w:style>
  <w:style w:type="paragraph" w:customStyle="1" w:styleId="41">
    <w:name w:val="BS-WZ"/>
    <w:link w:val="42"/>
    <w:qFormat/>
    <w:uiPriority w:val="0"/>
    <w:pPr>
      <w:widowControl w:val="0"/>
      <w:adjustRightInd w:val="0"/>
      <w:snapToGrid w:val="0"/>
      <w:spacing w:line="500" w:lineRule="exact"/>
      <w:ind w:firstLine="200" w:firstLineChars="200"/>
      <w:jc w:val="both"/>
    </w:pPr>
    <w:rPr>
      <w:rFonts w:ascii="Times New Roman" w:hAnsi="Times New Roman" w:eastAsia="宋体" w:cs="Times New Roman"/>
      <w:bCs/>
      <w:sz w:val="24"/>
      <w:szCs w:val="24"/>
      <w:lang w:val="en-US" w:eastAsia="zh-CN" w:bidi="ar-SA"/>
    </w:rPr>
  </w:style>
  <w:style w:type="character" w:customStyle="1" w:styleId="42">
    <w:name w:val="BS-WZ Char"/>
    <w:basedOn w:val="25"/>
    <w:link w:val="41"/>
    <w:qFormat/>
    <w:uiPriority w:val="0"/>
    <w:rPr>
      <w:rFonts w:ascii="Times New Roman" w:hAnsi="Times New Roman" w:eastAsia="宋体" w:cs="Times New Roman"/>
      <w:bCs/>
      <w:sz w:val="24"/>
      <w:szCs w:val="24"/>
    </w:rPr>
  </w:style>
  <w:style w:type="paragraph" w:customStyle="1" w:styleId="43">
    <w:name w:val="BS-03"/>
    <w:link w:val="44"/>
    <w:qFormat/>
    <w:uiPriority w:val="0"/>
    <w:pPr>
      <w:keepNext/>
      <w:keepLines/>
      <w:widowControl w:val="0"/>
      <w:adjustRightInd w:val="0"/>
      <w:snapToGrid w:val="0"/>
      <w:spacing w:line="500" w:lineRule="exact"/>
      <w:jc w:val="both"/>
      <w:outlineLvl w:val="2"/>
    </w:pPr>
    <w:rPr>
      <w:rFonts w:ascii="Times New Roman" w:hAnsi="Times New Roman" w:eastAsia="黑体" w:cs="Times New Roman"/>
      <w:b/>
      <w:sz w:val="24"/>
      <w:szCs w:val="28"/>
      <w:lang w:val="en-US" w:eastAsia="zh-CN" w:bidi="ar-SA"/>
    </w:rPr>
  </w:style>
  <w:style w:type="character" w:customStyle="1" w:styleId="44">
    <w:name w:val="BS-03 Char"/>
    <w:link w:val="43"/>
    <w:qFormat/>
    <w:uiPriority w:val="0"/>
    <w:rPr>
      <w:rFonts w:ascii="Times New Roman" w:hAnsi="Times New Roman" w:eastAsia="黑体" w:cs="Times New Roman"/>
      <w:b/>
      <w:sz w:val="24"/>
      <w:szCs w:val="28"/>
    </w:rPr>
  </w:style>
  <w:style w:type="paragraph" w:customStyle="1" w:styleId="45">
    <w:name w:val="BS-01"/>
    <w:qFormat/>
    <w:uiPriority w:val="0"/>
    <w:pPr>
      <w:keepNext/>
      <w:spacing w:line="800" w:lineRule="exact"/>
      <w:jc w:val="both"/>
      <w:outlineLvl w:val="0"/>
    </w:pPr>
    <w:rPr>
      <w:rFonts w:ascii="Times New Roman" w:hAnsi="Times New Roman" w:eastAsia="黑体" w:cs="Times New Roman"/>
      <w:b/>
      <w:sz w:val="30"/>
      <w:szCs w:val="28"/>
      <w:lang w:val="en-US" w:eastAsia="zh-CN" w:bidi="ar-SA"/>
    </w:rPr>
  </w:style>
  <w:style w:type="paragraph" w:customStyle="1" w:styleId="46">
    <w:name w:val="BS-02"/>
    <w:qFormat/>
    <w:uiPriority w:val="0"/>
    <w:pPr>
      <w:keepNext/>
      <w:keepLines/>
      <w:widowControl w:val="0"/>
      <w:adjustRightInd w:val="0"/>
      <w:snapToGrid w:val="0"/>
      <w:spacing w:line="500" w:lineRule="exact"/>
      <w:jc w:val="both"/>
      <w:outlineLvl w:val="1"/>
    </w:pPr>
    <w:rPr>
      <w:rFonts w:ascii="Times New Roman" w:hAnsi="Times New Roman" w:eastAsia="黑体" w:cs="Times New Roman"/>
      <w:b/>
      <w:sz w:val="28"/>
      <w:szCs w:val="28"/>
      <w:lang w:val="en-US" w:eastAsia="zh-CN" w:bidi="ar-SA"/>
    </w:rPr>
  </w:style>
  <w:style w:type="paragraph" w:customStyle="1" w:styleId="47">
    <w:name w:val="hg-zw"/>
    <w:link w:val="48"/>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48">
    <w:name w:val="hg-zw Char"/>
    <w:link w:val="47"/>
    <w:qFormat/>
    <w:uiPriority w:val="0"/>
    <w:rPr>
      <w:rFonts w:ascii="Times New Roman" w:hAnsi="Times New Roman" w:eastAsia="宋体" w:cs="Times New Roman"/>
      <w:sz w:val="24"/>
      <w:szCs w:val="24"/>
    </w:rPr>
  </w:style>
  <w:style w:type="paragraph" w:customStyle="1" w:styleId="49">
    <w:name w:val="BS-TZ"/>
    <w:qFormat/>
    <w:uiPriority w:val="0"/>
    <w:pPr>
      <w:widowControl w:val="0"/>
      <w:adjustRightInd w:val="0"/>
      <w:snapToGrid w:val="0"/>
      <w:spacing w:line="500" w:lineRule="exact"/>
      <w:jc w:val="center"/>
    </w:pPr>
    <w:rPr>
      <w:rFonts w:ascii="Times New Roman" w:hAnsi="Times New Roman" w:eastAsia="黑体" w:cs="Times New Roman"/>
      <w:b/>
      <w:sz w:val="24"/>
      <w:szCs w:val="32"/>
      <w:lang w:val="en-US" w:eastAsia="zh-CN" w:bidi="ar-SA"/>
    </w:rPr>
  </w:style>
  <w:style w:type="paragraph" w:customStyle="1" w:styleId="50">
    <w:name w:val="LL-ZW"/>
    <w:basedOn w:val="1"/>
    <w:link w:val="51"/>
    <w:qFormat/>
    <w:uiPriority w:val="0"/>
    <w:pPr>
      <w:adjustRightInd w:val="0"/>
      <w:snapToGrid w:val="0"/>
      <w:spacing w:line="500" w:lineRule="exact"/>
      <w:ind w:firstLine="200" w:firstLineChars="200"/>
    </w:pPr>
    <w:rPr>
      <w:rFonts w:ascii="宋体" w:hAnsi="Courier New"/>
      <w:sz w:val="24"/>
      <w:szCs w:val="24"/>
    </w:rPr>
  </w:style>
  <w:style w:type="character" w:customStyle="1" w:styleId="51">
    <w:name w:val="LL-ZW Char"/>
    <w:link w:val="50"/>
    <w:qFormat/>
    <w:uiPriority w:val="0"/>
    <w:rPr>
      <w:rFonts w:ascii="宋体" w:hAnsi="Courier New" w:eastAsia="宋体" w:cs="Times New Roman"/>
      <w:sz w:val="24"/>
      <w:szCs w:val="24"/>
    </w:rPr>
  </w:style>
  <w:style w:type="paragraph" w:customStyle="1" w:styleId="52">
    <w:name w:val="BS-BG"/>
    <w:link w:val="53"/>
    <w:qFormat/>
    <w:uiPriority w:val="0"/>
    <w:pPr>
      <w:widowControl w:val="0"/>
      <w:adjustRightInd w:val="0"/>
      <w:snapToGrid w:val="0"/>
      <w:spacing w:line="400" w:lineRule="exact"/>
      <w:jc w:val="center"/>
    </w:pPr>
    <w:rPr>
      <w:rFonts w:ascii="Times New Roman" w:hAnsi="Times New Roman" w:eastAsia="宋体" w:cs="Times New Roman"/>
      <w:szCs w:val="30"/>
      <w:lang w:val="en-US" w:eastAsia="zh-CN" w:bidi="ar-SA"/>
    </w:rPr>
  </w:style>
  <w:style w:type="character" w:customStyle="1" w:styleId="53">
    <w:name w:val="BS-BG Char"/>
    <w:basedOn w:val="25"/>
    <w:link w:val="52"/>
    <w:qFormat/>
    <w:uiPriority w:val="0"/>
    <w:rPr>
      <w:rFonts w:ascii="Times New Roman" w:hAnsi="Times New Roman" w:eastAsia="宋体" w:cs="Times New Roman"/>
      <w:kern w:val="0"/>
      <w:szCs w:val="30"/>
    </w:rPr>
  </w:style>
  <w:style w:type="paragraph" w:customStyle="1" w:styleId="54">
    <w:name w:val="BS-BT"/>
    <w:qFormat/>
    <w:uiPriority w:val="0"/>
    <w:pPr>
      <w:widowControl w:val="0"/>
      <w:tabs>
        <w:tab w:val="center" w:pos="4410"/>
        <w:tab w:val="right" w:pos="8820"/>
      </w:tabs>
      <w:adjustRightInd w:val="0"/>
      <w:snapToGrid w:val="0"/>
      <w:spacing w:line="500" w:lineRule="exact"/>
      <w:jc w:val="both"/>
    </w:pPr>
    <w:rPr>
      <w:rFonts w:ascii="Times New Roman" w:hAnsi="Times New Roman" w:eastAsia="黑体" w:cs="Times New Roman"/>
      <w:b/>
      <w:sz w:val="24"/>
      <w:szCs w:val="30"/>
      <w:lang w:val="en-US" w:eastAsia="zh-CN" w:bidi="ar-SA"/>
    </w:rPr>
  </w:style>
  <w:style w:type="paragraph" w:customStyle="1" w:styleId="55">
    <w:name w:val="WQ-BT"/>
    <w:link w:val="56"/>
    <w:qFormat/>
    <w:uiPriority w:val="0"/>
    <w:pPr>
      <w:widowControl w:val="0"/>
      <w:tabs>
        <w:tab w:val="center" w:pos="4410"/>
        <w:tab w:val="right" w:pos="8820"/>
      </w:tabs>
      <w:adjustRightInd w:val="0"/>
      <w:snapToGrid w:val="0"/>
      <w:spacing w:line="500" w:lineRule="exact"/>
      <w:jc w:val="both"/>
    </w:pPr>
    <w:rPr>
      <w:rFonts w:ascii="Times New Roman" w:hAnsi="Times New Roman" w:eastAsia="黑体" w:cs="Times New Roman"/>
      <w:b/>
      <w:sz w:val="24"/>
      <w:szCs w:val="24"/>
      <w:lang w:val="en-US" w:eastAsia="zh-CN" w:bidi="ar-SA"/>
    </w:rPr>
  </w:style>
  <w:style w:type="character" w:customStyle="1" w:styleId="56">
    <w:name w:val="WQ-BT Char"/>
    <w:basedOn w:val="25"/>
    <w:link w:val="55"/>
    <w:qFormat/>
    <w:uiPriority w:val="0"/>
    <w:rPr>
      <w:rFonts w:ascii="Times New Roman" w:hAnsi="Times New Roman" w:eastAsia="黑体" w:cs="Times New Roman"/>
      <w:b/>
      <w:sz w:val="24"/>
      <w:szCs w:val="24"/>
    </w:rPr>
  </w:style>
  <w:style w:type="paragraph" w:customStyle="1" w:styleId="57">
    <w:name w:val="BS-04"/>
    <w:qFormat/>
    <w:uiPriority w:val="0"/>
    <w:pPr>
      <w:keepNext/>
      <w:widowControl w:val="0"/>
      <w:adjustRightInd w:val="0"/>
      <w:snapToGrid w:val="0"/>
      <w:spacing w:line="500" w:lineRule="exact"/>
      <w:jc w:val="both"/>
      <w:outlineLvl w:val="3"/>
    </w:pPr>
    <w:rPr>
      <w:rFonts w:ascii="Times New Roman" w:hAnsi="Times New Roman" w:eastAsia="宋体" w:cs="Times New Roman"/>
      <w:sz w:val="24"/>
      <w:szCs w:val="28"/>
      <w:lang w:val="en-US" w:eastAsia="zh-CN" w:bidi="ar-SA"/>
    </w:rPr>
  </w:style>
  <w:style w:type="character" w:customStyle="1" w:styleId="58">
    <w:name w:val="DTX-02 Char"/>
    <w:link w:val="34"/>
    <w:qFormat/>
    <w:uiPriority w:val="0"/>
    <w:rPr>
      <w:rFonts w:eastAsia="仿宋_GB2312"/>
      <w:b/>
      <w:kern w:val="2"/>
      <w:sz w:val="32"/>
    </w:rPr>
  </w:style>
  <w:style w:type="character" w:customStyle="1" w:styleId="59">
    <w:name w:val="DTX-01 Char"/>
    <w:link w:val="33"/>
    <w:qFormat/>
    <w:uiPriority w:val="0"/>
    <w:rPr>
      <w:rFonts w:ascii="黑体" w:hAnsi="黑体" w:eastAsia="黑体"/>
      <w:b/>
      <w:bCs/>
      <w:kern w:val="2"/>
      <w:sz w:val="32"/>
    </w:rPr>
  </w:style>
  <w:style w:type="paragraph" w:customStyle="1" w:styleId="60">
    <w:name w:val="DTX-WZ"/>
    <w:link w:val="61"/>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61">
    <w:name w:val="DTX-WZ Char"/>
    <w:link w:val="60"/>
    <w:qFormat/>
    <w:uiPriority w:val="0"/>
    <w:rPr>
      <w:sz w:val="24"/>
      <w:szCs w:val="24"/>
    </w:rPr>
  </w:style>
  <w:style w:type="paragraph" w:customStyle="1" w:styleId="62">
    <w:name w:val="PT-WZ"/>
    <w:link w:val="63"/>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63">
    <w:name w:val="PT-WZ Char"/>
    <w:basedOn w:val="25"/>
    <w:link w:val="62"/>
    <w:qFormat/>
    <w:uiPriority w:val="0"/>
    <w:rPr>
      <w:sz w:val="24"/>
      <w:szCs w:val="24"/>
    </w:rPr>
  </w:style>
  <w:style w:type="paragraph" w:customStyle="1" w:styleId="64">
    <w:name w:val="DTX-03"/>
    <w:basedOn w:val="34"/>
    <w:link w:val="65"/>
    <w:qFormat/>
    <w:uiPriority w:val="0"/>
    <w:pPr>
      <w:outlineLvl w:val="2"/>
    </w:pPr>
    <w:rPr>
      <w:kern w:val="0"/>
    </w:rPr>
  </w:style>
  <w:style w:type="character" w:customStyle="1" w:styleId="65">
    <w:name w:val="DTX-03 Char"/>
    <w:link w:val="64"/>
    <w:qFormat/>
    <w:uiPriority w:val="0"/>
    <w:rPr>
      <w:rFonts w:eastAsia="仿宋_GB2312"/>
      <w:b/>
      <w:sz w:val="32"/>
    </w:rPr>
  </w:style>
  <w:style w:type="paragraph" w:customStyle="1" w:styleId="66">
    <w:name w:val="WQ-ZW"/>
    <w:link w:val="67"/>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67">
    <w:name w:val="WQ-ZW Char"/>
    <w:basedOn w:val="25"/>
    <w:link w:val="66"/>
    <w:qFormat/>
    <w:uiPriority w:val="0"/>
    <w:rPr>
      <w:rFonts w:ascii="Times New Roman" w:hAnsi="Times New Roman" w:eastAsia="宋体" w:cs="Times New Roman"/>
      <w:sz w:val="24"/>
      <w:szCs w:val="24"/>
    </w:rPr>
  </w:style>
  <w:style w:type="paragraph" w:customStyle="1" w:styleId="68">
    <w:name w:val="DTX-04"/>
    <w:next w:val="1"/>
    <w:link w:val="69"/>
    <w:qFormat/>
    <w:uiPriority w:val="0"/>
    <w:pPr>
      <w:widowControl w:val="0"/>
      <w:spacing w:line="500" w:lineRule="exact"/>
      <w:outlineLvl w:val="3"/>
    </w:pPr>
    <w:rPr>
      <w:rFonts w:ascii="Times New Roman" w:hAnsi="Times New Roman" w:eastAsia="宋体" w:cs="Times New Roman"/>
      <w:kern w:val="2"/>
      <w:sz w:val="24"/>
      <w:lang w:val="en-US" w:eastAsia="zh-CN" w:bidi="ar-SA"/>
    </w:rPr>
  </w:style>
  <w:style w:type="character" w:customStyle="1" w:styleId="69">
    <w:name w:val="DTX-04 Char"/>
    <w:link w:val="68"/>
    <w:qFormat/>
    <w:uiPriority w:val="0"/>
    <w:rPr>
      <w:kern w:val="2"/>
      <w:sz w:val="24"/>
    </w:rPr>
  </w:style>
  <w:style w:type="paragraph" w:customStyle="1" w:styleId="70">
    <w:name w:val="FM-WZ"/>
    <w:link w:val="71"/>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30"/>
      <w:lang w:val="en-US" w:eastAsia="zh-CN" w:bidi="ar-SA"/>
    </w:rPr>
  </w:style>
  <w:style w:type="character" w:customStyle="1" w:styleId="71">
    <w:name w:val="FM-WZ Char"/>
    <w:basedOn w:val="25"/>
    <w:link w:val="70"/>
    <w:qFormat/>
    <w:uiPriority w:val="0"/>
    <w:rPr>
      <w:rFonts w:ascii="Times New Roman" w:hAnsi="Times New Roman" w:eastAsia="宋体" w:cs="Times New Roman"/>
      <w:sz w:val="24"/>
      <w:szCs w:val="30"/>
    </w:rPr>
  </w:style>
  <w:style w:type="paragraph" w:customStyle="1" w:styleId="72">
    <w:name w:val="BS-HBT"/>
    <w:qFormat/>
    <w:uiPriority w:val="0"/>
    <w:pPr>
      <w:widowControl w:val="0"/>
      <w:tabs>
        <w:tab w:val="center" w:pos="6615"/>
        <w:tab w:val="right" w:pos="13230"/>
      </w:tabs>
      <w:adjustRightInd w:val="0"/>
      <w:snapToGrid w:val="0"/>
      <w:spacing w:line="500" w:lineRule="exact"/>
      <w:ind w:left="100" w:leftChars="100"/>
      <w:jc w:val="both"/>
    </w:pPr>
    <w:rPr>
      <w:rFonts w:ascii="Times New Roman" w:hAnsi="Times New Roman" w:eastAsia="黑体" w:cs="Times New Roman"/>
      <w:b/>
      <w:sz w:val="24"/>
      <w:szCs w:val="30"/>
      <w:lang w:val="en-US" w:eastAsia="zh-CN" w:bidi="ar-SA"/>
    </w:rPr>
  </w:style>
  <w:style w:type="character" w:customStyle="1" w:styleId="73">
    <w:name w:val="标题 3 Char1"/>
    <w:qFormat/>
    <w:uiPriority w:val="9"/>
    <w:rPr>
      <w:rFonts w:ascii="Calibri" w:hAnsi="Calibri" w:eastAsia="宋体" w:cs="Times New Roman"/>
      <w:b/>
      <w:bCs/>
      <w:sz w:val="32"/>
      <w:szCs w:val="32"/>
    </w:rPr>
  </w:style>
  <w:style w:type="character" w:customStyle="1" w:styleId="74">
    <w:name w:val="脚注文本 字符"/>
    <w:basedOn w:val="25"/>
    <w:link w:val="17"/>
    <w:semiHidden/>
    <w:qFormat/>
    <w:uiPriority w:val="99"/>
    <w:rPr>
      <w:sz w:val="18"/>
      <w:szCs w:val="18"/>
    </w:rPr>
  </w:style>
  <w:style w:type="character" w:customStyle="1" w:styleId="75">
    <w:name w:val="批注文字 字符"/>
    <w:basedOn w:val="25"/>
    <w:link w:val="9"/>
    <w:qFormat/>
    <w:uiPriority w:val="99"/>
  </w:style>
  <w:style w:type="character" w:customStyle="1" w:styleId="76">
    <w:name w:val="正文文本缩进 字符"/>
    <w:basedOn w:val="25"/>
    <w:link w:val="10"/>
    <w:semiHidden/>
    <w:qFormat/>
    <w:uiPriority w:val="99"/>
    <w:rPr>
      <w:rFonts w:asciiTheme="minorHAnsi" w:hAnsiTheme="minorHAnsi" w:eastAsiaTheme="minorEastAsia" w:cstheme="minorBidi"/>
      <w:kern w:val="2"/>
      <w:sz w:val="21"/>
      <w:szCs w:val="22"/>
    </w:rPr>
  </w:style>
  <w:style w:type="character" w:customStyle="1" w:styleId="77">
    <w:name w:val="日期 字符"/>
    <w:basedOn w:val="25"/>
    <w:link w:val="11"/>
    <w:semiHidden/>
    <w:qFormat/>
    <w:uiPriority w:val="99"/>
  </w:style>
  <w:style w:type="character" w:customStyle="1" w:styleId="78">
    <w:name w:val="正文文本首行缩进 2 字符"/>
    <w:basedOn w:val="76"/>
    <w:link w:val="22"/>
    <w:qFormat/>
    <w:uiPriority w:val="0"/>
    <w:rPr>
      <w:rFonts w:asciiTheme="minorHAnsi" w:hAnsiTheme="minorHAnsi" w:eastAsiaTheme="minorEastAsia" w:cstheme="minorBidi"/>
      <w:kern w:val="2"/>
      <w:sz w:val="24"/>
      <w:szCs w:val="24"/>
    </w:rPr>
  </w:style>
  <w:style w:type="character" w:customStyle="1" w:styleId="79">
    <w:name w:val="HTML 预设格式 字符"/>
    <w:basedOn w:val="25"/>
    <w:link w:val="19"/>
    <w:qFormat/>
    <w:uiPriority w:val="99"/>
    <w:rPr>
      <w:rFonts w:ascii="Courier New" w:hAnsi="Courier New"/>
      <w:sz w:val="20"/>
    </w:rPr>
  </w:style>
  <w:style w:type="character" w:customStyle="1" w:styleId="80">
    <w:name w:val="批注主题 字符"/>
    <w:basedOn w:val="75"/>
    <w:link w:val="21"/>
    <w:semiHidden/>
    <w:qFormat/>
    <w:uiPriority w:val="99"/>
    <w:rPr>
      <w:b/>
      <w:bCs/>
    </w:rPr>
  </w:style>
  <w:style w:type="character" w:customStyle="1" w:styleId="81">
    <w:name w:val="批注框文本 字符"/>
    <w:basedOn w:val="25"/>
    <w:link w:val="13"/>
    <w:semiHidden/>
    <w:qFormat/>
    <w:uiPriority w:val="99"/>
    <w:rPr>
      <w:sz w:val="18"/>
      <w:szCs w:val="18"/>
    </w:rPr>
  </w:style>
  <w:style w:type="paragraph" w:customStyle="1" w:styleId="82">
    <w:name w:val="00DTX-WZ"/>
    <w:link w:val="108"/>
    <w:qFormat/>
    <w:uiPriority w:val="0"/>
    <w:pPr>
      <w:widowControl w:val="0"/>
      <w:adjustRightInd w:val="0"/>
      <w:snapToGrid w:val="0"/>
      <w:spacing w:line="600" w:lineRule="exact"/>
      <w:ind w:firstLine="200" w:firstLineChars="200"/>
      <w:jc w:val="both"/>
    </w:pPr>
    <w:rPr>
      <w:rFonts w:ascii="Times New Roman" w:hAnsi="Times New Roman" w:eastAsia="仿宋_GB2312" w:cs="Times New Roman"/>
      <w:spacing w:val="2"/>
      <w:sz w:val="32"/>
      <w:szCs w:val="28"/>
      <w:lang w:val="en-US" w:eastAsia="zh-CN" w:bidi="ar-SA"/>
    </w:rPr>
  </w:style>
  <w:style w:type="paragraph" w:customStyle="1" w:styleId="83">
    <w:name w:val="DTX-TM"/>
    <w:basedOn w:val="1"/>
    <w:next w:val="1"/>
    <w:link w:val="84"/>
    <w:qFormat/>
    <w:uiPriority w:val="0"/>
    <w:pPr>
      <w:adjustRightInd w:val="0"/>
      <w:snapToGrid w:val="0"/>
      <w:spacing w:line="500" w:lineRule="exact"/>
      <w:jc w:val="center"/>
    </w:pPr>
    <w:rPr>
      <w:rFonts w:eastAsia="黑体"/>
      <w:b/>
      <w:sz w:val="24"/>
      <w:szCs w:val="24"/>
    </w:rPr>
  </w:style>
  <w:style w:type="character" w:customStyle="1" w:styleId="84">
    <w:name w:val="DTX-TM Char"/>
    <w:link w:val="83"/>
    <w:qFormat/>
    <w:uiPriority w:val="0"/>
    <w:rPr>
      <w:rFonts w:eastAsia="黑体"/>
      <w:b/>
      <w:sz w:val="24"/>
      <w:szCs w:val="24"/>
    </w:rPr>
  </w:style>
  <w:style w:type="paragraph" w:customStyle="1" w:styleId="85">
    <w:name w:val="DTX-T"/>
    <w:basedOn w:val="1"/>
    <w:qFormat/>
    <w:uiPriority w:val="0"/>
    <w:pPr>
      <w:adjustRightInd w:val="0"/>
      <w:snapToGrid w:val="0"/>
      <w:jc w:val="center"/>
    </w:pPr>
    <w:rPr>
      <w:kern w:val="2"/>
      <w:sz w:val="24"/>
      <w:szCs w:val="24"/>
    </w:rPr>
  </w:style>
  <w:style w:type="paragraph" w:customStyle="1" w:styleId="86">
    <w:name w:val="04DTX-BG"/>
    <w:basedOn w:val="1"/>
    <w:qFormat/>
    <w:uiPriority w:val="0"/>
    <w:pPr>
      <w:adjustRightInd w:val="0"/>
      <w:snapToGrid w:val="0"/>
      <w:spacing w:line="360" w:lineRule="exact"/>
      <w:jc w:val="center"/>
    </w:pPr>
    <w:rPr>
      <w:rFonts w:eastAsia="仿宋_GB2312"/>
      <w:kern w:val="2"/>
      <w:sz w:val="24"/>
      <w:szCs w:val="30"/>
    </w:rPr>
  </w:style>
  <w:style w:type="paragraph" w:customStyle="1" w:styleId="87">
    <w:name w:val="05DTX-BT"/>
    <w:basedOn w:val="1"/>
    <w:next w:val="1"/>
    <w:link w:val="88"/>
    <w:qFormat/>
    <w:uiPriority w:val="0"/>
    <w:pPr>
      <w:tabs>
        <w:tab w:val="center" w:pos="4410"/>
        <w:tab w:val="right" w:pos="8820"/>
      </w:tabs>
      <w:adjustRightInd w:val="0"/>
      <w:snapToGrid w:val="0"/>
      <w:spacing w:line="600" w:lineRule="exact"/>
      <w:jc w:val="center"/>
    </w:pPr>
    <w:rPr>
      <w:rFonts w:eastAsia="黑体"/>
      <w:b/>
      <w:kern w:val="2"/>
      <w:sz w:val="28"/>
      <w:szCs w:val="30"/>
    </w:rPr>
  </w:style>
  <w:style w:type="character" w:customStyle="1" w:styleId="88">
    <w:name w:val="05DTX-BT 字符"/>
    <w:basedOn w:val="25"/>
    <w:link w:val="87"/>
    <w:qFormat/>
    <w:uiPriority w:val="0"/>
    <w:rPr>
      <w:rFonts w:eastAsia="黑体"/>
      <w:b/>
      <w:kern w:val="2"/>
      <w:sz w:val="28"/>
      <w:szCs w:val="30"/>
    </w:rPr>
  </w:style>
  <w:style w:type="paragraph" w:customStyle="1" w:styleId="89">
    <w:name w:val="03规划——三级标题"/>
    <w:qFormat/>
    <w:uiPriority w:val="0"/>
    <w:pPr>
      <w:spacing w:line="560" w:lineRule="exact"/>
      <w:ind w:firstLine="638" w:firstLineChars="200"/>
      <w:jc w:val="both"/>
      <w:outlineLvl w:val="2"/>
    </w:pPr>
    <w:rPr>
      <w:rFonts w:ascii="Calibri" w:hAnsi="Calibri" w:eastAsia="仿宋_GB2312" w:cs="Times New Roman"/>
      <w:b/>
      <w:bCs/>
      <w:kern w:val="44"/>
      <w:sz w:val="32"/>
      <w:szCs w:val="44"/>
      <w:lang w:val="en-US" w:eastAsia="zh-CN" w:bidi="ar-SA"/>
    </w:rPr>
  </w:style>
  <w:style w:type="paragraph" w:customStyle="1" w:styleId="90">
    <w:name w:val="00规划-正文"/>
    <w:basedOn w:val="1"/>
    <w:link w:val="91"/>
    <w:qFormat/>
    <w:uiPriority w:val="0"/>
    <w:pPr>
      <w:widowControl/>
      <w:spacing w:line="560" w:lineRule="exact"/>
      <w:ind w:firstLine="200" w:firstLineChars="200"/>
    </w:pPr>
    <w:rPr>
      <w:rFonts w:eastAsia="仿宋_GB2312"/>
      <w:sz w:val="30"/>
      <w:szCs w:val="24"/>
    </w:rPr>
  </w:style>
  <w:style w:type="character" w:customStyle="1" w:styleId="91">
    <w:name w:val="00规划-正文字符"/>
    <w:link w:val="90"/>
    <w:qFormat/>
    <w:uiPriority w:val="0"/>
    <w:rPr>
      <w:rFonts w:eastAsia="仿宋_GB2312"/>
      <w:sz w:val="30"/>
      <w:szCs w:val="24"/>
    </w:rPr>
  </w:style>
  <w:style w:type="paragraph" w:customStyle="1" w:styleId="92">
    <w:name w:val="04规划——图片格式"/>
    <w:next w:val="90"/>
    <w:qFormat/>
    <w:uiPriority w:val="0"/>
    <w:pPr>
      <w:spacing w:line="560" w:lineRule="exact"/>
      <w:jc w:val="center"/>
    </w:pPr>
    <w:rPr>
      <w:rFonts w:ascii="Calibri" w:hAnsi="Calibri" w:eastAsia="黑体" w:cs="Times New Roman"/>
      <w:kern w:val="2"/>
      <w:sz w:val="28"/>
      <w:szCs w:val="24"/>
      <w:lang w:val="en-US" w:eastAsia="zh-CN" w:bidi="ar-SA"/>
    </w:rPr>
  </w:style>
  <w:style w:type="paragraph" w:customStyle="1" w:styleId="93">
    <w:name w:val="05规划——表内文字"/>
    <w:qFormat/>
    <w:uiPriority w:val="0"/>
    <w:pPr>
      <w:adjustRightInd w:val="0"/>
      <w:snapToGrid w:val="0"/>
      <w:jc w:val="center"/>
    </w:pPr>
    <w:rPr>
      <w:rFonts w:ascii="Times New Roman" w:hAnsi="Times New Roman" w:eastAsia="仿宋_GB2312" w:cs="Times New Roman"/>
      <w:kern w:val="2"/>
      <w:sz w:val="21"/>
      <w:szCs w:val="24"/>
      <w:lang w:val="en-US" w:eastAsia="zh-CN" w:bidi="ar-SA"/>
    </w:rPr>
  </w:style>
  <w:style w:type="character" w:customStyle="1" w:styleId="94">
    <w:name w:val="font21"/>
    <w:basedOn w:val="25"/>
    <w:qFormat/>
    <w:uiPriority w:val="0"/>
    <w:rPr>
      <w:rFonts w:hint="default" w:ascii="Times New Roman" w:hAnsi="Times New Roman" w:cs="Times New Roman"/>
      <w:color w:val="000000"/>
      <w:sz w:val="20"/>
      <w:szCs w:val="20"/>
      <w:u w:val="none"/>
    </w:rPr>
  </w:style>
  <w:style w:type="character" w:customStyle="1" w:styleId="95">
    <w:name w:val="font11"/>
    <w:basedOn w:val="25"/>
    <w:qFormat/>
    <w:uiPriority w:val="0"/>
    <w:rPr>
      <w:rFonts w:hint="eastAsia" w:ascii="宋体" w:hAnsi="宋体" w:eastAsia="宋体" w:cs="宋体"/>
      <w:color w:val="000000"/>
      <w:sz w:val="20"/>
      <w:szCs w:val="20"/>
      <w:u w:val="none"/>
    </w:rPr>
  </w:style>
  <w:style w:type="character" w:customStyle="1" w:styleId="96">
    <w:name w:val="font71"/>
    <w:basedOn w:val="25"/>
    <w:qFormat/>
    <w:uiPriority w:val="0"/>
    <w:rPr>
      <w:rFonts w:hint="default" w:ascii="Times New Roman" w:hAnsi="Times New Roman" w:cs="Times New Roman"/>
      <w:color w:val="000000"/>
      <w:sz w:val="20"/>
      <w:szCs w:val="20"/>
      <w:u w:val="none"/>
    </w:rPr>
  </w:style>
  <w:style w:type="character" w:customStyle="1" w:styleId="97">
    <w:name w:val="font81"/>
    <w:basedOn w:val="25"/>
    <w:qFormat/>
    <w:uiPriority w:val="0"/>
    <w:rPr>
      <w:rFonts w:hint="default" w:ascii="仿宋_GB2312" w:eastAsia="仿宋_GB2312" w:cs="仿宋_GB2312"/>
      <w:color w:val="000000"/>
      <w:sz w:val="20"/>
      <w:szCs w:val="20"/>
      <w:u w:val="none"/>
      <w:vertAlign w:val="superscript"/>
    </w:rPr>
  </w:style>
  <w:style w:type="character" w:customStyle="1" w:styleId="98">
    <w:name w:val="font51"/>
    <w:basedOn w:val="25"/>
    <w:qFormat/>
    <w:uiPriority w:val="0"/>
    <w:rPr>
      <w:rFonts w:hint="default" w:ascii="仿宋_GB2312" w:eastAsia="仿宋_GB2312" w:cs="仿宋_GB2312"/>
      <w:color w:val="000000"/>
      <w:sz w:val="20"/>
      <w:szCs w:val="20"/>
      <w:u w:val="none"/>
    </w:rPr>
  </w:style>
  <w:style w:type="character" w:customStyle="1" w:styleId="99">
    <w:name w:val="font91"/>
    <w:basedOn w:val="25"/>
    <w:qFormat/>
    <w:uiPriority w:val="0"/>
    <w:rPr>
      <w:rFonts w:hint="default" w:ascii="Times New Roman" w:hAnsi="Times New Roman" w:cs="Times New Roman"/>
      <w:color w:val="000000"/>
      <w:sz w:val="20"/>
      <w:szCs w:val="20"/>
      <w:u w:val="none"/>
    </w:rPr>
  </w:style>
  <w:style w:type="character" w:customStyle="1" w:styleId="100">
    <w:name w:val="font31"/>
    <w:basedOn w:val="25"/>
    <w:qFormat/>
    <w:uiPriority w:val="0"/>
    <w:rPr>
      <w:rFonts w:hint="eastAsia" w:ascii="宋体" w:hAnsi="宋体" w:eastAsia="宋体" w:cs="宋体"/>
      <w:color w:val="000000"/>
      <w:sz w:val="20"/>
      <w:szCs w:val="20"/>
      <w:u w:val="none"/>
    </w:rPr>
  </w:style>
  <w:style w:type="character" w:customStyle="1" w:styleId="101">
    <w:name w:val="font61"/>
    <w:basedOn w:val="25"/>
    <w:qFormat/>
    <w:uiPriority w:val="0"/>
    <w:rPr>
      <w:rFonts w:hint="default" w:ascii="Times New Roman" w:hAnsi="Times New Roman" w:cs="Times New Roman"/>
      <w:color w:val="000000"/>
      <w:sz w:val="20"/>
      <w:szCs w:val="20"/>
      <w:u w:val="none"/>
    </w:rPr>
  </w:style>
  <w:style w:type="character" w:customStyle="1" w:styleId="102">
    <w:name w:val="font41"/>
    <w:basedOn w:val="25"/>
    <w:qFormat/>
    <w:uiPriority w:val="0"/>
    <w:rPr>
      <w:rFonts w:hint="eastAsia" w:ascii="宋体" w:hAnsi="宋体" w:eastAsia="宋体" w:cs="宋体"/>
      <w:color w:val="000000"/>
      <w:sz w:val="20"/>
      <w:szCs w:val="20"/>
      <w:u w:val="none"/>
    </w:rPr>
  </w:style>
  <w:style w:type="character" w:customStyle="1" w:styleId="103">
    <w:name w:val="text_pngnw"/>
    <w:basedOn w:val="25"/>
    <w:qFormat/>
    <w:uiPriority w:val="0"/>
  </w:style>
  <w:style w:type="paragraph" w:customStyle="1" w:styleId="104">
    <w:name w:val="p"/>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5">
    <w:name w:val="Default"/>
    <w:qFormat/>
    <w:uiPriority w:val="0"/>
    <w:pPr>
      <w:widowControl w:val="0"/>
      <w:autoSpaceDE w:val="0"/>
      <w:autoSpaceDN w:val="0"/>
      <w:adjustRightInd w:val="0"/>
    </w:pPr>
    <w:rPr>
      <w:rFonts w:ascii="仿宋_GB2312" w:hAnsi="仿宋_GB2312" w:eastAsia="宋体" w:cs="仿宋_GB2312"/>
      <w:color w:val="000000"/>
      <w:sz w:val="24"/>
      <w:szCs w:val="24"/>
      <w:lang w:val="en-US" w:eastAsia="zh-CN" w:bidi="ar-SA"/>
    </w:rPr>
  </w:style>
  <w:style w:type="table" w:customStyle="1" w:styleId="106">
    <w:name w:val="网格型2"/>
    <w:basedOn w:val="2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07">
    <w:name w:val="标题3+节"/>
    <w:basedOn w:val="1"/>
    <w:qFormat/>
    <w:uiPriority w:val="0"/>
    <w:pPr>
      <w:spacing w:before="50" w:beforeLines="50" w:after="50" w:afterLines="50"/>
      <w:outlineLvl w:val="2"/>
    </w:pPr>
    <w:rPr>
      <w:rFonts w:ascii="楷体" w:hAnsi="楷体" w:eastAsia="楷体"/>
      <w:b/>
      <w:sz w:val="30"/>
      <w:szCs w:val="32"/>
    </w:rPr>
  </w:style>
  <w:style w:type="character" w:customStyle="1" w:styleId="108">
    <w:name w:val="00DTX-WZ Char"/>
    <w:link w:val="82"/>
    <w:qFormat/>
    <w:uiPriority w:val="0"/>
    <w:rPr>
      <w:rFonts w:eastAsia="仿宋_GB2312"/>
      <w:spacing w:val="2"/>
      <w:sz w:val="32"/>
      <w:szCs w:val="28"/>
    </w:rPr>
  </w:style>
  <w:style w:type="character" w:customStyle="1" w:styleId="109">
    <w:name w:val="font01"/>
    <w:basedOn w:val="25"/>
    <w:qFormat/>
    <w:uiPriority w:val="0"/>
    <w:rPr>
      <w:rFonts w:hint="eastAsia" w:ascii="宋体" w:hAnsi="宋体" w:eastAsia="宋体" w:cs="宋体"/>
      <w:color w:val="000000"/>
      <w:sz w:val="22"/>
      <w:szCs w:val="22"/>
      <w:u w:val="none"/>
    </w:rPr>
  </w:style>
  <w:style w:type="character" w:customStyle="1" w:styleId="110">
    <w:name w:val="font111"/>
    <w:basedOn w:val="25"/>
    <w:qFormat/>
    <w:uiPriority w:val="0"/>
    <w:rPr>
      <w:rFonts w:hint="eastAsia" w:ascii="宋体" w:hAnsi="宋体" w:eastAsia="宋体" w:cs="宋体"/>
      <w:color w:val="000000"/>
      <w:sz w:val="22"/>
      <w:szCs w:val="22"/>
      <w:u w:val="none"/>
      <w:vertAlign w:val="superscript"/>
    </w:rPr>
  </w:style>
  <w:style w:type="paragraph" w:customStyle="1" w:styleId="111">
    <w:name w:val="DTX-BG"/>
    <w:link w:val="112"/>
    <w:qFormat/>
    <w:uiPriority w:val="0"/>
    <w:pPr>
      <w:widowControl w:val="0"/>
      <w:adjustRightInd w:val="0"/>
      <w:snapToGrid w:val="0"/>
      <w:spacing w:line="280" w:lineRule="exact"/>
      <w:jc w:val="center"/>
    </w:pPr>
    <w:rPr>
      <w:rFonts w:ascii="Times New Roman" w:hAnsi="Times New Roman" w:eastAsia="仿宋" w:cstheme="minorBidi"/>
      <w:snapToGrid w:val="0"/>
      <w:sz w:val="24"/>
      <w:szCs w:val="28"/>
      <w:lang w:val="en-US" w:eastAsia="zh-CN" w:bidi="ar-SA"/>
    </w:rPr>
  </w:style>
  <w:style w:type="character" w:customStyle="1" w:styleId="112">
    <w:name w:val="DTX-BG Char"/>
    <w:link w:val="111"/>
    <w:qFormat/>
    <w:uiPriority w:val="0"/>
    <w:rPr>
      <w:rFonts w:eastAsia="仿宋" w:cstheme="minorBidi"/>
      <w:snapToGrid w:val="0"/>
      <w:sz w:val="24"/>
      <w:szCs w:val="28"/>
    </w:rPr>
  </w:style>
  <w:style w:type="paragraph" w:customStyle="1" w:styleId="113">
    <w:name w:val="正文-额尔古纳"/>
    <w:basedOn w:val="1"/>
    <w:link w:val="114"/>
    <w:qFormat/>
    <w:uiPriority w:val="0"/>
    <w:pPr>
      <w:adjustRightInd w:val="0"/>
      <w:snapToGrid w:val="0"/>
      <w:spacing w:before="50" w:beforeLines="50" w:after="50" w:afterLines="50" w:line="400" w:lineRule="exact"/>
      <w:ind w:firstLine="200" w:firstLineChars="200"/>
    </w:pPr>
    <w:rPr>
      <w:rFonts w:ascii="Arial" w:hAnsi="Arial"/>
      <w:kern w:val="2"/>
      <w:sz w:val="24"/>
      <w:szCs w:val="24"/>
    </w:rPr>
  </w:style>
  <w:style w:type="character" w:customStyle="1" w:styleId="114">
    <w:name w:val="正文-额尔古纳 字符"/>
    <w:basedOn w:val="25"/>
    <w:link w:val="113"/>
    <w:qFormat/>
    <w:uiPriority w:val="0"/>
    <w:rPr>
      <w:rFonts w:ascii="Arial" w:hAnsi="Arial"/>
      <w:kern w:val="2"/>
      <w:sz w:val="24"/>
      <w:szCs w:val="24"/>
    </w:rPr>
  </w:style>
  <w:style w:type="paragraph" w:customStyle="1" w:styleId="115">
    <w:name w:val="新县正文"/>
    <w:basedOn w:val="1"/>
    <w:link w:val="116"/>
    <w:qFormat/>
    <w:uiPriority w:val="0"/>
    <w:pPr>
      <w:adjustRightInd w:val="0"/>
      <w:snapToGrid w:val="0"/>
      <w:spacing w:line="360" w:lineRule="auto"/>
      <w:ind w:firstLine="200" w:firstLineChars="200"/>
    </w:pPr>
    <w:rPr>
      <w:rFonts w:eastAsia="仿宋"/>
      <w:color w:val="000000"/>
      <w:kern w:val="2"/>
      <w:sz w:val="30"/>
      <w:szCs w:val="30"/>
    </w:rPr>
  </w:style>
  <w:style w:type="character" w:customStyle="1" w:styleId="116">
    <w:name w:val="新县正文 字符"/>
    <w:basedOn w:val="25"/>
    <w:link w:val="115"/>
    <w:qFormat/>
    <w:uiPriority w:val="0"/>
    <w:rPr>
      <w:rFonts w:eastAsia="仿宋"/>
      <w:color w:val="000000"/>
      <w:kern w:val="2"/>
      <w:sz w:val="30"/>
      <w:szCs w:val="30"/>
    </w:rPr>
  </w:style>
  <w:style w:type="paragraph" w:customStyle="1" w:styleId="117">
    <w:name w:val="新县4级标题"/>
    <w:next w:val="115"/>
    <w:link w:val="118"/>
    <w:qFormat/>
    <w:uiPriority w:val="0"/>
    <w:pPr>
      <w:adjustRightInd w:val="0"/>
      <w:snapToGrid w:val="0"/>
      <w:spacing w:line="360" w:lineRule="auto"/>
      <w:ind w:firstLine="200" w:firstLineChars="200"/>
      <w:outlineLvl w:val="3"/>
    </w:pPr>
    <w:rPr>
      <w:rFonts w:ascii="Times New Roman" w:hAnsi="Times New Roman" w:eastAsia="仿宋" w:cs="Times New Roman"/>
      <w:color w:val="000000"/>
      <w:kern w:val="2"/>
      <w:sz w:val="30"/>
      <w:szCs w:val="30"/>
      <w:lang w:val="en-US" w:eastAsia="zh-CN" w:bidi="ar-SA"/>
    </w:rPr>
  </w:style>
  <w:style w:type="character" w:customStyle="1" w:styleId="118">
    <w:name w:val="新县4级标题 字符"/>
    <w:basedOn w:val="116"/>
    <w:link w:val="117"/>
    <w:qFormat/>
    <w:uiPriority w:val="0"/>
    <w:rPr>
      <w:rFonts w:eastAsia="仿宋"/>
      <w:color w:val="000000"/>
      <w:kern w:val="2"/>
      <w:sz w:val="30"/>
      <w:szCs w:val="30"/>
    </w:rPr>
  </w:style>
  <w:style w:type="paragraph" w:customStyle="1" w:styleId="119">
    <w:name w:val="表格内容"/>
    <w:basedOn w:val="1"/>
    <w:link w:val="120"/>
    <w:qFormat/>
    <w:uiPriority w:val="0"/>
    <w:pPr>
      <w:widowControl/>
      <w:topLinePunct/>
      <w:adjustRightInd w:val="0"/>
      <w:snapToGrid w:val="0"/>
      <w:spacing w:line="300" w:lineRule="exact"/>
      <w:jc w:val="center"/>
      <w:textAlignment w:val="center"/>
    </w:pPr>
    <w:rPr>
      <w:kern w:val="2"/>
      <w:sz w:val="21"/>
    </w:rPr>
  </w:style>
  <w:style w:type="character" w:customStyle="1" w:styleId="120">
    <w:name w:val="表格内容 字符"/>
    <w:basedOn w:val="25"/>
    <w:link w:val="119"/>
    <w:uiPriority w:val="0"/>
    <w:rPr>
      <w:kern w:val="2"/>
      <w:sz w:val="21"/>
    </w:rPr>
  </w:style>
  <w:style w:type="paragraph" w:customStyle="1" w:styleId="121">
    <w:name w:val="表头"/>
    <w:basedOn w:val="1"/>
    <w:qFormat/>
    <w:uiPriority w:val="0"/>
    <w:pPr>
      <w:adjustRightInd w:val="0"/>
      <w:snapToGrid w:val="0"/>
      <w:spacing w:before="156" w:beforeLines="50" w:line="360" w:lineRule="auto"/>
      <w:jc w:val="center"/>
    </w:pPr>
    <w:rPr>
      <w:rFonts w:eastAsia="黑体" w:cstheme="minorBidi"/>
      <w:snapToGrid w:val="0"/>
      <w:kern w:val="2"/>
      <w:sz w:val="24"/>
      <w:szCs w:val="28"/>
    </w:rPr>
  </w:style>
  <w:style w:type="character" w:customStyle="1" w:styleId="122">
    <w:name w:val="标题 2 字符"/>
    <w:basedOn w:val="25"/>
    <w:link w:val="3"/>
    <w:semiHidden/>
    <w:uiPriority w:val="9"/>
    <w:rPr>
      <w:rFonts w:asciiTheme="majorHAnsi" w:hAnsiTheme="majorHAnsi" w:eastAsiaTheme="majorEastAsia" w:cstheme="majorBidi"/>
      <w:b/>
      <w:bCs/>
      <w:sz w:val="32"/>
      <w:szCs w:val="32"/>
    </w:rPr>
  </w:style>
  <w:style w:type="paragraph" w:customStyle="1" w:styleId="123">
    <w:name w:val="报告段落"/>
    <w:basedOn w:val="1"/>
    <w:link w:val="124"/>
    <w:qFormat/>
    <w:uiPriority w:val="0"/>
    <w:pPr>
      <w:spacing w:before="50" w:beforeLines="50" w:after="50" w:afterLines="50" w:line="400" w:lineRule="exact"/>
      <w:ind w:firstLine="200" w:firstLineChars="200"/>
      <w:textAlignment w:val="center"/>
    </w:pPr>
    <w:rPr>
      <w:sz w:val="28"/>
      <w:szCs w:val="24"/>
      <w:lang w:val="zh-CN"/>
    </w:rPr>
  </w:style>
  <w:style w:type="character" w:customStyle="1" w:styleId="124">
    <w:name w:val="报告段落 Char"/>
    <w:link w:val="123"/>
    <w:qFormat/>
    <w:uiPriority w:val="0"/>
    <w:rPr>
      <w:sz w:val="28"/>
      <w:szCs w:val="24"/>
      <w:lang w:val="zh-CN"/>
    </w:rPr>
  </w:style>
  <w:style w:type="paragraph" w:customStyle="1" w:styleId="125">
    <w:name w:val="表头图名"/>
    <w:basedOn w:val="1"/>
    <w:next w:val="123"/>
    <w:link w:val="126"/>
    <w:qFormat/>
    <w:uiPriority w:val="0"/>
    <w:pPr>
      <w:spacing w:line="360" w:lineRule="auto"/>
      <w:jc w:val="center"/>
      <w:textAlignment w:val="center"/>
      <w:outlineLvl w:val="5"/>
    </w:pPr>
    <w:rPr>
      <w:rFonts w:eastAsia="黑体"/>
      <w:sz w:val="28"/>
      <w:szCs w:val="24"/>
      <w:lang w:val="zh-CN"/>
    </w:rPr>
  </w:style>
  <w:style w:type="character" w:customStyle="1" w:styleId="126">
    <w:name w:val="表头图名 Char"/>
    <w:link w:val="125"/>
    <w:qFormat/>
    <w:uiPriority w:val="0"/>
    <w:rPr>
      <w:rFonts w:eastAsia="黑体"/>
      <w:sz w:val="28"/>
      <w:szCs w:val="24"/>
      <w:lang w:val="zh-CN"/>
    </w:rPr>
  </w:style>
  <w:style w:type="character" w:customStyle="1" w:styleId="127">
    <w:name w:val="表格内容 Char"/>
    <w:qFormat/>
    <w:uiPriority w:val="0"/>
    <w:rPr>
      <w:rFonts w:ascii="Times New Roman" w:hAnsi="Times New Roman" w:eastAsia="宋体" w:cs="Times New Roman"/>
      <w:szCs w:val="21"/>
      <w:lang w:val="zh-CN" w:eastAsia="zh-CN"/>
    </w:rPr>
  </w:style>
  <w:style w:type="paragraph" w:customStyle="1" w:styleId="128">
    <w:name w:val="表格后换行"/>
    <w:basedOn w:val="1"/>
    <w:next w:val="123"/>
    <w:link w:val="129"/>
    <w:qFormat/>
    <w:uiPriority w:val="0"/>
    <w:rPr>
      <w:kern w:val="2"/>
      <w:sz w:val="21"/>
      <w:szCs w:val="24"/>
    </w:rPr>
  </w:style>
  <w:style w:type="character" w:customStyle="1" w:styleId="129">
    <w:name w:val="表格后换行 Char"/>
    <w:link w:val="128"/>
    <w:qFormat/>
    <w:uiPriority w:val="0"/>
    <w:rPr>
      <w:kern w:val="2"/>
      <w:sz w:val="21"/>
      <w:szCs w:val="24"/>
    </w:rPr>
  </w:style>
  <w:style w:type="paragraph" w:customStyle="1" w:styleId="130">
    <w:name w:val="图表名称"/>
    <w:basedOn w:val="1"/>
    <w:qFormat/>
    <w:uiPriority w:val="0"/>
    <w:pPr>
      <w:adjustRightInd w:val="0"/>
      <w:snapToGrid w:val="0"/>
      <w:spacing w:after="50" w:afterLines="50" w:line="400" w:lineRule="exact"/>
      <w:jc w:val="center"/>
    </w:pPr>
    <w:rPr>
      <w:rFonts w:eastAsia="黑体" w:cstheme="minorBidi"/>
      <w:kern w:val="2"/>
      <w:sz w:val="24"/>
      <w:szCs w:val="22"/>
    </w:rPr>
  </w:style>
  <w:style w:type="paragraph" w:customStyle="1" w:styleId="131">
    <w:name w:val="表格文字"/>
    <w:basedOn w:val="1"/>
    <w:qFormat/>
    <w:uiPriority w:val="0"/>
    <w:pPr>
      <w:widowControl/>
      <w:adjustRightInd w:val="0"/>
      <w:snapToGrid w:val="0"/>
      <w:jc w:val="center"/>
    </w:pPr>
    <w:rPr>
      <w:color w:val="000000" w:themeColor="text1"/>
      <w:sz w:val="22"/>
      <w:szCs w:val="22"/>
      <w14:textFill>
        <w14:solidFill>
          <w14:schemeClr w14:val="tx1"/>
        </w14:solidFill>
      </w14:textFill>
    </w:rPr>
  </w:style>
  <w:style w:type="paragraph" w:customStyle="1" w:styleId="132">
    <w:name w:val="牙克石正文"/>
    <w:basedOn w:val="1"/>
    <w:link w:val="133"/>
    <w:qFormat/>
    <w:uiPriority w:val="0"/>
    <w:pPr>
      <w:adjustRightInd w:val="0"/>
      <w:snapToGrid w:val="0"/>
      <w:spacing w:line="360" w:lineRule="auto"/>
      <w:ind w:firstLine="560" w:firstLineChars="200"/>
    </w:pPr>
    <w:rPr>
      <w:rFonts w:eastAsia="仿宋" w:cs="宋体"/>
      <w:kern w:val="2"/>
      <w:sz w:val="28"/>
    </w:rPr>
  </w:style>
  <w:style w:type="character" w:customStyle="1" w:styleId="133">
    <w:name w:val="牙克石正文 字符"/>
    <w:basedOn w:val="25"/>
    <w:link w:val="132"/>
    <w:qFormat/>
    <w:uiPriority w:val="0"/>
    <w:rPr>
      <w:rFonts w:eastAsia="仿宋" w:cs="宋体"/>
      <w:kern w:val="2"/>
      <w:sz w:val="28"/>
    </w:rPr>
  </w:style>
  <w:style w:type="character" w:customStyle="1" w:styleId="134">
    <w:name w:val="正文文本缩进 2 字符"/>
    <w:basedOn w:val="25"/>
    <w:link w:val="12"/>
    <w:uiPriority w:val="99"/>
    <w:rPr>
      <w:rFonts w:asciiTheme="minorHAnsi" w:hAnsiTheme="minorHAnsi" w:cstheme="minorBidi"/>
    </w:rPr>
  </w:style>
  <w:style w:type="paragraph" w:styleId="135">
    <w:name w:val="List Paragraph"/>
    <w:basedOn w:val="1"/>
    <w:unhideWhenUsed/>
    <w:uiPriority w:val="99"/>
    <w:pPr>
      <w:ind w:firstLine="420" w:firstLineChars="200"/>
    </w:pPr>
  </w:style>
  <w:style w:type="paragraph" w:customStyle="1" w:styleId="136">
    <w:name w:val="Revision"/>
    <w:hidden/>
    <w:unhideWhenUsed/>
    <w:uiPriority w:val="99"/>
    <w:rPr>
      <w:rFonts w:ascii="Times New Roman" w:hAnsi="Times New Roman" w:eastAsia="宋体" w:cs="Times New Roman"/>
      <w:lang w:val="en-US" w:eastAsia="zh-CN" w:bidi="ar-SA"/>
    </w:rPr>
  </w:style>
  <w:style w:type="character" w:customStyle="1" w:styleId="137">
    <w:name w:val="NormalCharacter"/>
    <w:uiPriority w:val="0"/>
  </w:style>
  <w:style w:type="paragraph" w:customStyle="1" w:styleId="138">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139">
    <w:name w:val="font5"/>
    <w:basedOn w:val="1"/>
    <w:qFormat/>
    <w:uiPriority w:val="0"/>
    <w:pPr>
      <w:widowControl/>
      <w:spacing w:before="100" w:beforeAutospacing="1" w:after="100" w:afterAutospacing="1"/>
      <w:jc w:val="left"/>
    </w:pPr>
    <w:rPr>
      <w:sz w:val="22"/>
      <w:szCs w:val="22"/>
    </w:rPr>
  </w:style>
  <w:style w:type="paragraph" w:customStyle="1" w:styleId="140">
    <w:name w:val="font6"/>
    <w:basedOn w:val="1"/>
    <w:qFormat/>
    <w:uiPriority w:val="0"/>
    <w:pPr>
      <w:widowControl/>
      <w:spacing w:before="100" w:beforeAutospacing="1" w:after="100" w:afterAutospacing="1"/>
      <w:jc w:val="left"/>
    </w:pPr>
    <w:rPr>
      <w:rFonts w:ascii="黑体" w:hAnsi="黑体" w:eastAsia="黑体" w:cs="宋体"/>
      <w:sz w:val="22"/>
      <w:szCs w:val="22"/>
    </w:rPr>
  </w:style>
  <w:style w:type="paragraph" w:customStyle="1" w:styleId="141">
    <w:name w:val="font7"/>
    <w:basedOn w:val="1"/>
    <w:qFormat/>
    <w:uiPriority w:val="0"/>
    <w:pPr>
      <w:widowControl/>
      <w:spacing w:before="100" w:beforeAutospacing="1" w:after="100" w:afterAutospacing="1"/>
      <w:jc w:val="left"/>
    </w:pPr>
    <w:rPr>
      <w:color w:val="000000"/>
      <w:sz w:val="24"/>
      <w:szCs w:val="24"/>
    </w:rPr>
  </w:style>
  <w:style w:type="paragraph" w:customStyle="1" w:styleId="142">
    <w:name w:val="font8"/>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143">
    <w:name w:val="font9"/>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144">
    <w:name w:val="font10"/>
    <w:basedOn w:val="1"/>
    <w:qFormat/>
    <w:uiPriority w:val="0"/>
    <w:pPr>
      <w:widowControl/>
      <w:spacing w:before="100" w:beforeAutospacing="1" w:after="100" w:afterAutospacing="1"/>
      <w:jc w:val="left"/>
    </w:pPr>
    <w:rPr>
      <w:color w:val="000000"/>
      <w:sz w:val="24"/>
      <w:szCs w:val="24"/>
    </w:rPr>
  </w:style>
  <w:style w:type="paragraph" w:customStyle="1" w:styleId="145">
    <w:name w:val="xl67"/>
    <w:basedOn w:val="1"/>
    <w:qFormat/>
    <w:uiPriority w:val="0"/>
    <w:pPr>
      <w:widowControl/>
      <w:spacing w:before="100" w:beforeAutospacing="1" w:after="100" w:afterAutospacing="1"/>
      <w:jc w:val="center"/>
    </w:pPr>
    <w:rPr>
      <w:sz w:val="24"/>
      <w:szCs w:val="24"/>
    </w:rPr>
  </w:style>
  <w:style w:type="paragraph" w:customStyle="1" w:styleId="146">
    <w:name w:val="xl68"/>
    <w:basedOn w:val="1"/>
    <w:qFormat/>
    <w:uiPriority w:val="0"/>
    <w:pPr>
      <w:widowControl/>
      <w:spacing w:before="100" w:beforeAutospacing="1" w:after="100" w:afterAutospacing="1"/>
      <w:jc w:val="center"/>
    </w:pPr>
    <w:rPr>
      <w:sz w:val="24"/>
      <w:szCs w:val="24"/>
    </w:rPr>
  </w:style>
  <w:style w:type="paragraph" w:customStyle="1" w:styleId="147">
    <w:name w:val="xl69"/>
    <w:basedOn w:val="1"/>
    <w:qFormat/>
    <w:uiPriority w:val="0"/>
    <w:pPr>
      <w:widowControl/>
      <w:spacing w:before="100" w:beforeAutospacing="1" w:after="100" w:afterAutospacing="1"/>
      <w:jc w:val="left"/>
    </w:pPr>
    <w:rPr>
      <w:sz w:val="24"/>
      <w:szCs w:val="24"/>
    </w:rPr>
  </w:style>
  <w:style w:type="paragraph" w:customStyle="1" w:styleId="148">
    <w:name w:val="xl70"/>
    <w:basedOn w:val="1"/>
    <w:qFormat/>
    <w:uiPriority w:val="0"/>
    <w:pPr>
      <w:widowControl/>
      <w:spacing w:before="100" w:beforeAutospacing="1" w:after="100" w:afterAutospacing="1"/>
      <w:jc w:val="center"/>
    </w:pPr>
    <w:rPr>
      <w:sz w:val="24"/>
      <w:szCs w:val="24"/>
    </w:rPr>
  </w:style>
  <w:style w:type="paragraph" w:customStyle="1" w:styleId="149">
    <w:name w:val="xl71"/>
    <w:basedOn w:val="1"/>
    <w:qFormat/>
    <w:uiPriority w:val="0"/>
    <w:pPr>
      <w:widowControl/>
      <w:spacing w:before="100" w:beforeAutospacing="1" w:after="100" w:afterAutospacing="1"/>
      <w:jc w:val="left"/>
    </w:pPr>
    <w:rPr>
      <w:rFonts w:ascii="宋体" w:hAnsi="宋体" w:cs="宋体"/>
      <w:sz w:val="24"/>
      <w:szCs w:val="24"/>
    </w:rPr>
  </w:style>
  <w:style w:type="paragraph" w:customStyle="1" w:styleId="150">
    <w:name w:val="xl7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4"/>
      <w:szCs w:val="24"/>
    </w:rPr>
  </w:style>
  <w:style w:type="paragraph" w:customStyle="1" w:styleId="151">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52">
    <w:name w:val="xl7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5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5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5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56">
    <w:name w:val="xl78"/>
    <w:basedOn w:val="1"/>
    <w:qFormat/>
    <w:uiPriority w:val="0"/>
    <w:pPr>
      <w:widowControl/>
      <w:pBdr>
        <w:top w:val="single" w:color="auto" w:sz="4" w:space="0"/>
        <w:left w:val="single" w:color="auto" w:sz="4" w:space="0"/>
      </w:pBdr>
      <w:spacing w:before="100" w:beforeAutospacing="1" w:after="100" w:afterAutospacing="1"/>
      <w:jc w:val="center"/>
    </w:pPr>
    <w:rPr>
      <w:sz w:val="24"/>
      <w:szCs w:val="24"/>
    </w:rPr>
  </w:style>
  <w:style w:type="paragraph" w:customStyle="1" w:styleId="157">
    <w:name w:val="xl7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58">
    <w:name w:val="xl80"/>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5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6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6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62">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黑体" w:hAnsi="黑体" w:eastAsia="黑体" w:cs="宋体"/>
      <w:sz w:val="24"/>
      <w:szCs w:val="24"/>
    </w:rPr>
  </w:style>
  <w:style w:type="paragraph" w:customStyle="1" w:styleId="163">
    <w:name w:val="xl85"/>
    <w:basedOn w:val="1"/>
    <w:qFormat/>
    <w:uiPriority w:val="0"/>
    <w:pPr>
      <w:widowControl/>
      <w:pBdr>
        <w:bottom w:val="single" w:color="auto" w:sz="4" w:space="0"/>
      </w:pBdr>
      <w:spacing w:before="100" w:beforeAutospacing="1" w:after="100" w:afterAutospacing="1"/>
      <w:jc w:val="center"/>
    </w:pPr>
    <w:rPr>
      <w:rFonts w:ascii="黑体" w:hAnsi="黑体" w:eastAsia="黑体" w:cs="宋体"/>
      <w:sz w:val="24"/>
      <w:szCs w:val="24"/>
    </w:rPr>
  </w:style>
  <w:style w:type="paragraph" w:customStyle="1" w:styleId="164">
    <w:name w:val="xl86"/>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sz w:val="24"/>
      <w:szCs w:val="24"/>
    </w:rPr>
  </w:style>
  <w:style w:type="paragraph" w:customStyle="1" w:styleId="165">
    <w:name w:val="xl87"/>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sz w:val="24"/>
      <w:szCs w:val="24"/>
    </w:rPr>
  </w:style>
  <w:style w:type="paragraph" w:customStyle="1" w:styleId="166">
    <w:name w:val="xl88"/>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67">
    <w:name w:val="xl89"/>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color w:val="000000"/>
      <w:sz w:val="24"/>
      <w:szCs w:val="24"/>
    </w:rPr>
  </w:style>
  <w:style w:type="paragraph" w:customStyle="1" w:styleId="168">
    <w:name w:val="xl90"/>
    <w:basedOn w:val="1"/>
    <w:qFormat/>
    <w:uiPriority w:val="0"/>
    <w:pPr>
      <w:widowControl/>
      <w:pBdr>
        <w:left w:val="single" w:color="auto" w:sz="8" w:space="0"/>
        <w:right w:val="single" w:color="auto" w:sz="4" w:space="0"/>
      </w:pBdr>
      <w:spacing w:before="100" w:beforeAutospacing="1" w:after="100" w:afterAutospacing="1"/>
      <w:jc w:val="center"/>
    </w:pPr>
    <w:rPr>
      <w:color w:val="000000"/>
      <w:sz w:val="24"/>
      <w:szCs w:val="24"/>
    </w:rPr>
  </w:style>
  <w:style w:type="paragraph" w:customStyle="1" w:styleId="169">
    <w:name w:val="xl91"/>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70">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hAnsi="黑体" w:eastAsia="黑体" w:cs="宋体"/>
      <w:sz w:val="24"/>
      <w:szCs w:val="24"/>
    </w:rPr>
  </w:style>
  <w:style w:type="paragraph" w:customStyle="1" w:styleId="171">
    <w:name w:val="xl9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72">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73">
    <w:name w:val="xl95"/>
    <w:basedOn w:val="1"/>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7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7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76">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黑体" w:hAnsi="黑体" w:eastAsia="黑体" w:cs="宋体"/>
      <w:sz w:val="24"/>
      <w:szCs w:val="24"/>
    </w:rPr>
  </w:style>
  <w:style w:type="paragraph" w:customStyle="1" w:styleId="177">
    <w:name w:val="xl99"/>
    <w:basedOn w:val="1"/>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78">
    <w:name w:val="xl100"/>
    <w:basedOn w:val="1"/>
    <w:qFormat/>
    <w:uiPriority w:val="0"/>
    <w:pPr>
      <w:widowControl/>
      <w:pBdr>
        <w:left w:val="single" w:color="auto" w:sz="4" w:space="0"/>
        <w:right w:val="single" w:color="auto" w:sz="4" w:space="0"/>
      </w:pBdr>
      <w:spacing w:before="100" w:beforeAutospacing="1" w:after="100" w:afterAutospacing="1"/>
      <w:jc w:val="center"/>
    </w:pPr>
    <w:rPr>
      <w:sz w:val="24"/>
      <w:szCs w:val="24"/>
    </w:rPr>
  </w:style>
  <w:style w:type="paragraph" w:customStyle="1" w:styleId="179">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4"/>
      <w:szCs w:val="24"/>
    </w:rPr>
  </w:style>
  <w:style w:type="paragraph" w:customStyle="1" w:styleId="180">
    <w:name w:val="xl102"/>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81">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182">
    <w:name w:val="xl10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183">
    <w:name w:val="xl10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84">
    <w:name w:val="xl10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4"/>
      <w:szCs w:val="24"/>
    </w:rPr>
  </w:style>
  <w:style w:type="paragraph" w:customStyle="1" w:styleId="185">
    <w:name w:val="xl107"/>
    <w:basedOn w:val="1"/>
    <w:qFormat/>
    <w:uiPriority w:val="0"/>
    <w:pPr>
      <w:widowControl/>
      <w:pBdr>
        <w:left w:val="single" w:color="auto" w:sz="4" w:space="0"/>
        <w:right w:val="single" w:color="auto" w:sz="4" w:space="0"/>
      </w:pBdr>
      <w:spacing w:before="100" w:beforeAutospacing="1" w:after="100" w:afterAutospacing="1"/>
      <w:jc w:val="center"/>
    </w:pPr>
    <w:rPr>
      <w:sz w:val="24"/>
      <w:szCs w:val="24"/>
    </w:rPr>
  </w:style>
  <w:style w:type="paragraph" w:customStyle="1" w:styleId="186">
    <w:name w:val="xl10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szCs w:val="24"/>
    </w:rPr>
  </w:style>
  <w:style w:type="paragraph" w:customStyle="1" w:styleId="187">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4"/>
      <w:szCs w:val="24"/>
    </w:rPr>
  </w:style>
  <w:style w:type="paragraph" w:customStyle="1" w:styleId="188">
    <w:name w:val="xl110"/>
    <w:basedOn w:val="1"/>
    <w:qFormat/>
    <w:uiPriority w:val="0"/>
    <w:pPr>
      <w:widowControl/>
      <w:pBdr>
        <w:left w:val="single" w:color="auto" w:sz="4" w:space="0"/>
        <w:right w:val="single" w:color="auto" w:sz="4" w:space="0"/>
      </w:pBdr>
      <w:spacing w:before="100" w:beforeAutospacing="1" w:after="100" w:afterAutospacing="1"/>
      <w:jc w:val="center"/>
    </w:pPr>
    <w:rPr>
      <w:color w:val="000000"/>
      <w:sz w:val="24"/>
      <w:szCs w:val="24"/>
    </w:rPr>
  </w:style>
  <w:style w:type="paragraph" w:customStyle="1" w:styleId="189">
    <w:name w:val="xl11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90">
    <w:name w:val="xl112"/>
    <w:basedOn w:val="1"/>
    <w:qFormat/>
    <w:uiPriority w:val="0"/>
    <w:pPr>
      <w:widowControl/>
      <w:pBdr>
        <w:left w:val="single" w:color="auto" w:sz="4" w:space="0"/>
        <w:right w:val="single" w:color="auto" w:sz="4" w:space="0"/>
      </w:pBdr>
      <w:spacing w:before="100" w:beforeAutospacing="1" w:after="100" w:afterAutospacing="1"/>
      <w:jc w:val="center"/>
    </w:pPr>
    <w:rPr>
      <w:rFonts w:ascii="黑体" w:hAnsi="黑体" w:eastAsia="黑体" w:cs="宋体"/>
      <w:sz w:val="24"/>
      <w:szCs w:val="24"/>
    </w:rPr>
  </w:style>
  <w:style w:type="paragraph" w:customStyle="1" w:styleId="191">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4"/>
      <w:szCs w:val="24"/>
    </w:rPr>
  </w:style>
  <w:style w:type="paragraph" w:customStyle="1" w:styleId="192">
    <w:name w:val="xl114"/>
    <w:basedOn w:val="1"/>
    <w:qFormat/>
    <w:uiPriority w:val="0"/>
    <w:pPr>
      <w:widowControl/>
      <w:pBdr>
        <w:left w:val="single" w:color="auto" w:sz="4" w:space="0"/>
        <w:right w:val="single" w:color="auto" w:sz="4" w:space="0"/>
      </w:pBdr>
      <w:spacing w:before="100" w:beforeAutospacing="1" w:after="100" w:afterAutospacing="1"/>
      <w:jc w:val="center"/>
    </w:pPr>
    <w:rPr>
      <w:color w:val="000000"/>
      <w:sz w:val="24"/>
      <w:szCs w:val="24"/>
    </w:rPr>
  </w:style>
  <w:style w:type="paragraph" w:customStyle="1" w:styleId="193">
    <w:name w:val="xl11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94">
    <w:name w:val="xl116"/>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sz w:val="24"/>
      <w:szCs w:val="24"/>
    </w:rPr>
  </w:style>
  <w:style w:type="paragraph" w:customStyle="1" w:styleId="195">
    <w:name w:val="xl117"/>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sz w:val="24"/>
      <w:szCs w:val="24"/>
    </w:rPr>
  </w:style>
  <w:style w:type="paragraph" w:customStyle="1" w:styleId="196">
    <w:name w:val="xl118"/>
    <w:basedOn w:val="1"/>
    <w:qFormat/>
    <w:uiPriority w:val="0"/>
    <w:pPr>
      <w:widowControl/>
      <w:pBdr>
        <w:left w:val="single" w:color="auto" w:sz="4" w:space="0"/>
        <w:right w:val="single" w:color="auto" w:sz="4" w:space="0"/>
      </w:pBdr>
      <w:spacing w:before="100" w:beforeAutospacing="1" w:after="100" w:afterAutospacing="1"/>
      <w:jc w:val="center"/>
    </w:pPr>
    <w:rPr>
      <w:sz w:val="24"/>
      <w:szCs w:val="24"/>
    </w:rPr>
  </w:style>
  <w:style w:type="paragraph" w:customStyle="1" w:styleId="197">
    <w:name w:val="xl11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198">
    <w:name w:val="xl12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szCs w:val="24"/>
    </w:rPr>
  </w:style>
  <w:style w:type="paragraph" w:customStyle="1" w:styleId="199">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4"/>
      <w:szCs w:val="24"/>
    </w:rPr>
  </w:style>
  <w:style w:type="paragraph" w:customStyle="1" w:styleId="200">
    <w:name w:val="xl122"/>
    <w:basedOn w:val="1"/>
    <w:qFormat/>
    <w:uiPriority w:val="0"/>
    <w:pPr>
      <w:widowControl/>
      <w:pBdr>
        <w:left w:val="single" w:color="auto" w:sz="4" w:space="0"/>
        <w:right w:val="single" w:color="auto" w:sz="4" w:space="0"/>
      </w:pBdr>
      <w:spacing w:before="100" w:beforeAutospacing="1" w:after="100" w:afterAutospacing="1"/>
      <w:jc w:val="center"/>
    </w:pPr>
    <w:rPr>
      <w:sz w:val="24"/>
      <w:szCs w:val="24"/>
    </w:rPr>
  </w:style>
  <w:style w:type="paragraph" w:customStyle="1" w:styleId="201">
    <w:name w:val="xl12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4"/>
      <w:szCs w:val="24"/>
    </w:rPr>
  </w:style>
  <w:style w:type="paragraph" w:customStyle="1" w:styleId="202">
    <w:name w:val="xl1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4"/>
      <w:szCs w:val="24"/>
    </w:rPr>
  </w:style>
  <w:style w:type="paragraph" w:customStyle="1" w:styleId="203">
    <w:name w:val="xl125"/>
    <w:basedOn w:val="1"/>
    <w:uiPriority w:val="0"/>
    <w:pPr>
      <w:widowControl/>
      <w:pBdr>
        <w:left w:val="single" w:color="auto" w:sz="4" w:space="0"/>
        <w:right w:val="single" w:color="auto" w:sz="4" w:space="0"/>
      </w:pBdr>
      <w:spacing w:before="100" w:beforeAutospacing="1" w:after="100" w:afterAutospacing="1"/>
      <w:jc w:val="center"/>
    </w:pPr>
    <w:rPr>
      <w:color w:val="000000"/>
      <w:sz w:val="24"/>
      <w:szCs w:val="24"/>
    </w:rPr>
  </w:style>
  <w:style w:type="paragraph" w:customStyle="1" w:styleId="204">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4"/>
      <w:szCs w:val="24"/>
    </w:rPr>
  </w:style>
  <w:style w:type="paragraph" w:customStyle="1" w:styleId="205">
    <w:name w:val="崇左正文"/>
    <w:basedOn w:val="1"/>
    <w:qFormat/>
    <w:uiPriority w:val="0"/>
    <w:pPr>
      <w:adjustRightInd w:val="0"/>
      <w:snapToGrid w:val="0"/>
      <w:ind w:firstLine="600"/>
    </w:pPr>
    <w:rPr>
      <w:rFonts w:eastAsia="仿宋_GB2312"/>
      <w:bCs/>
      <w:sz w:val="30"/>
      <w:szCs w:val="30"/>
      <w:lang w:val="zh-CN"/>
    </w:rPr>
  </w:style>
  <w:style w:type="paragraph" w:customStyle="1" w:styleId="206">
    <w:name w:val="三级标题"/>
    <w:basedOn w:val="4"/>
    <w:next w:val="1"/>
    <w:link w:val="207"/>
    <w:qFormat/>
    <w:uiPriority w:val="0"/>
    <w:pPr>
      <w:numPr>
        <w:numId w:val="0"/>
      </w:numPr>
      <w:adjustRightInd w:val="0"/>
      <w:snapToGrid w:val="0"/>
      <w:spacing w:before="62" w:beforeLines="20" w:after="62" w:afterLines="20" w:line="400" w:lineRule="exact"/>
      <w:ind w:firstLine="602" w:firstLineChars="200"/>
      <w:jc w:val="left"/>
    </w:pPr>
    <w:rPr>
      <w:rFonts w:eastAsia="仿宋"/>
      <w:kern w:val="2"/>
      <w:sz w:val="30"/>
    </w:rPr>
  </w:style>
  <w:style w:type="character" w:customStyle="1" w:styleId="207">
    <w:name w:val="三级标题 Char"/>
    <w:basedOn w:val="61"/>
    <w:link w:val="206"/>
    <w:qFormat/>
    <w:uiPriority w:val="0"/>
    <w:rPr>
      <w:rFonts w:eastAsia="仿宋"/>
      <w:b/>
      <w:bCs/>
      <w:kern w:val="2"/>
      <w:sz w:val="30"/>
      <w:szCs w:val="32"/>
    </w:rPr>
  </w:style>
  <w:style w:type="paragraph" w:customStyle="1" w:styleId="208">
    <w:name w:val="一级标题"/>
    <w:basedOn w:val="2"/>
    <w:next w:val="1"/>
    <w:link w:val="209"/>
    <w:qFormat/>
    <w:uiPriority w:val="0"/>
    <w:pPr>
      <w:spacing w:before="78" w:beforeLines="25" w:after="156" w:afterLines="50" w:line="600" w:lineRule="exact"/>
      <w:jc w:val="center"/>
    </w:pPr>
    <w:rPr>
      <w:rFonts w:eastAsia="黑体" w:asciiTheme="minorEastAsia" w:hAnsiTheme="minorEastAsia" w:cstheme="minorBidi"/>
      <w:bCs w:val="0"/>
      <w:kern w:val="2"/>
      <w:sz w:val="32"/>
      <w:szCs w:val="28"/>
    </w:rPr>
  </w:style>
  <w:style w:type="character" w:customStyle="1" w:styleId="209">
    <w:name w:val="一级标题 Char"/>
    <w:basedOn w:val="25"/>
    <w:link w:val="208"/>
    <w:qFormat/>
    <w:uiPriority w:val="0"/>
    <w:rPr>
      <w:rFonts w:eastAsia="黑体" w:asciiTheme="minorEastAsia" w:hAnsiTheme="minorEastAsia" w:cstheme="minorBidi"/>
      <w:b/>
      <w:kern w:val="2"/>
      <w:sz w:val="32"/>
      <w:szCs w:val="28"/>
    </w:rPr>
  </w:style>
  <w:style w:type="character" w:customStyle="1" w:styleId="210">
    <w:name w:val="标题 4 字符"/>
    <w:basedOn w:val="25"/>
    <w:link w:val="5"/>
    <w:semiHidden/>
    <w:uiPriority w:val="9"/>
    <w:rPr>
      <w:rFonts w:asciiTheme="majorHAnsi" w:hAnsiTheme="majorHAnsi" w:eastAsiaTheme="majorEastAsia" w:cstheme="majorBidi"/>
      <w:b/>
      <w:bCs/>
      <w:sz w:val="28"/>
      <w:szCs w:val="28"/>
    </w:rPr>
  </w:style>
  <w:style w:type="paragraph" w:customStyle="1" w:styleId="211">
    <w:name w:val="扎兰屯正文"/>
    <w:basedOn w:val="1"/>
    <w:link w:val="212"/>
    <w:qFormat/>
    <w:uiPriority w:val="0"/>
    <w:pPr>
      <w:adjustRightInd w:val="0"/>
      <w:snapToGrid w:val="0"/>
      <w:spacing w:line="360" w:lineRule="auto"/>
      <w:ind w:firstLine="200" w:firstLineChars="200"/>
    </w:pPr>
    <w:rPr>
      <w:rFonts w:eastAsia="仿宋" w:cs="宋体"/>
      <w:kern w:val="2"/>
      <w:sz w:val="30"/>
    </w:rPr>
  </w:style>
  <w:style w:type="character" w:customStyle="1" w:styleId="212">
    <w:name w:val="扎兰屯正文 字符"/>
    <w:basedOn w:val="25"/>
    <w:link w:val="211"/>
    <w:qFormat/>
    <w:uiPriority w:val="0"/>
    <w:rPr>
      <w:rFonts w:eastAsia="仿宋" w:cs="宋体"/>
      <w:kern w:val="2"/>
      <w:sz w:val="30"/>
    </w:rPr>
  </w:style>
  <w:style w:type="table" w:customStyle="1" w:styleId="2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standalone='no'?>
<b:Sources xmlns:b="http://schemas.openxmlformats.org/officeDocument/2006/bibliography" SelectedStyle="\APA.XSL" StyleName="APA" xmlns:b="http://schemas.openxmlformats.org/officeDocument/2006/bibliography"/>

</file>

<file path=customXml/itemProps1.xml><?xml version="1.0" encoding="utf-8"?>
<ds:datastoreItem xmlns:ds="http://schemas.openxmlformats.org/officeDocument/2006/customXml" ds:itemID="{AE5D6BFB-F54E-42FA-B383-BD2F64FDEF2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101</Pages>
  <Words>48804</Words>
  <Characters>51161</Characters>
  <Lines>401</Lines>
  <Paragraphs>112</Paragraphs>
  <TotalTime>91</TotalTime>
  <ScaleCrop>false</ScaleCrop>
  <LinksUpToDate>false</LinksUpToDate>
  <CharactersWithSpaces>51358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2025-10-21T21:44:00Z</dcterms:created>
  <dc:creator>Ldy</dc:creator>
  <cp:lastModifiedBy>huawei</cp:lastModifiedBy>
  <cp:lastPrinted>2025-10-21T21:44:00Z</cp:lastPrinted>
  <dcterms:modified xsi:type="dcterms:W3CDTF">2026-03-12T09:38:54Z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3571F6D4EFDF468A83052EB333AFCBF2_13</vt:lpwstr>
  </property>
</Properties>
</file>