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5D988">
      <w:pPr>
        <w:spacing w:line="360" w:lineRule="auto"/>
        <w:jc w:val="left"/>
        <w:rPr>
          <w:rFonts w:hint="eastAsia" w:ascii="Times New Roman" w:hAnsi="Times New Roman" w:eastAsia="仿宋"/>
          <w:color w:val="auto"/>
          <w:sz w:val="28"/>
          <w:szCs w:val="13"/>
          <w:lang w:val="en-US" w:eastAsia="zh-CN"/>
        </w:rPr>
      </w:pPr>
      <w:r>
        <w:rPr>
          <w:rFonts w:hint="eastAsia" w:ascii="黑体" w:hAnsi="黑体" w:eastAsia="黑体" w:cs="黑体"/>
          <w:color w:val="auto"/>
          <w:sz w:val="28"/>
          <w:szCs w:val="13"/>
          <w:lang w:val="en-US" w:eastAsia="zh-CN"/>
        </w:rPr>
        <w:t>版本号：</w:t>
      </w:r>
    </w:p>
    <w:p w14:paraId="215E6123">
      <w:pPr>
        <w:spacing w:line="723" w:lineRule="atLeast"/>
        <w:jc w:val="left"/>
        <w:rPr>
          <w:rFonts w:hint="eastAsia" w:eastAsia="仿宋"/>
          <w:color w:val="auto"/>
          <w:sz w:val="44"/>
        </w:rPr>
      </w:pPr>
    </w:p>
    <w:p w14:paraId="59A2C199">
      <w:pPr>
        <w:spacing w:line="723" w:lineRule="atLeast"/>
        <w:jc w:val="center"/>
        <w:rPr>
          <w:rFonts w:eastAsia="仿宋"/>
          <w:color w:val="auto"/>
          <w:sz w:val="44"/>
        </w:rPr>
      </w:pPr>
    </w:p>
    <w:p w14:paraId="7CC9EF20">
      <w:pPr>
        <w:spacing w:line="723" w:lineRule="atLeast"/>
        <w:jc w:val="center"/>
        <w:rPr>
          <w:rFonts w:eastAsia="仿宋"/>
          <w:color w:val="auto"/>
          <w:sz w:val="44"/>
        </w:rPr>
      </w:pPr>
    </w:p>
    <w:p w14:paraId="00E15923">
      <w:pPr>
        <w:spacing w:line="723" w:lineRule="atLeast"/>
        <w:jc w:val="center"/>
        <w:rPr>
          <w:rFonts w:eastAsia="仿宋"/>
          <w:color w:val="auto"/>
          <w:sz w:val="44"/>
        </w:rPr>
      </w:pPr>
    </w:p>
    <w:p w14:paraId="2C51C665">
      <w:pPr>
        <w:spacing w:line="360" w:lineRule="auto"/>
        <w:ind w:left="0"/>
        <w:jc w:val="center"/>
        <w:rPr>
          <w:rFonts w:ascii="黑体" w:hAnsi="黑体" w:eastAsia="黑体"/>
          <w:b/>
          <w:color w:val="auto"/>
          <w:kern w:val="2"/>
          <w:sz w:val="52"/>
          <w:szCs w:val="52"/>
        </w:rPr>
      </w:pPr>
      <w:r>
        <w:rPr>
          <w:rFonts w:hint="default" w:ascii="Times New Roman" w:hAnsi="Times New Roman" w:eastAsia="黑体" w:cs="Times New Roman"/>
          <w:b/>
          <w:bCs/>
          <w:color w:val="auto"/>
          <w:sz w:val="52"/>
          <w:szCs w:val="52"/>
          <w:lang w:eastAsia="zh-CN"/>
        </w:rPr>
        <w:t>额尔古纳市</w:t>
      </w:r>
      <w:r>
        <w:rPr>
          <w:rFonts w:ascii="黑体" w:hAnsi="黑体" w:eastAsia="黑体"/>
          <w:b/>
          <w:color w:val="auto"/>
          <w:kern w:val="2"/>
          <w:sz w:val="52"/>
          <w:szCs w:val="52"/>
        </w:rPr>
        <w:t>突发环境事件应急预案</w:t>
      </w:r>
    </w:p>
    <w:p w14:paraId="5556C9B1">
      <w:pPr>
        <w:spacing w:line="598" w:lineRule="atLeast"/>
        <w:jc w:val="center"/>
        <w:rPr>
          <w:rFonts w:eastAsia="仿宋"/>
          <w:color w:val="auto"/>
          <w:sz w:val="32"/>
        </w:rPr>
      </w:pPr>
    </w:p>
    <w:p w14:paraId="66C79F25">
      <w:pPr>
        <w:spacing w:line="598" w:lineRule="atLeast"/>
        <w:jc w:val="center"/>
        <w:rPr>
          <w:rFonts w:eastAsia="仿宋"/>
          <w:color w:val="auto"/>
          <w:sz w:val="32"/>
        </w:rPr>
      </w:pPr>
    </w:p>
    <w:p w14:paraId="6CBB2951">
      <w:pPr>
        <w:spacing w:line="598" w:lineRule="atLeast"/>
        <w:jc w:val="center"/>
        <w:rPr>
          <w:rFonts w:eastAsia="仿宋"/>
          <w:color w:val="auto"/>
          <w:sz w:val="32"/>
        </w:rPr>
      </w:pPr>
    </w:p>
    <w:p w14:paraId="5C75128D">
      <w:pPr>
        <w:spacing w:line="598" w:lineRule="atLeast"/>
        <w:jc w:val="center"/>
        <w:rPr>
          <w:rFonts w:hint="eastAsia" w:eastAsia="仿宋"/>
          <w:color w:val="auto"/>
          <w:sz w:val="32"/>
        </w:rPr>
      </w:pPr>
    </w:p>
    <w:p w14:paraId="5F243929">
      <w:pPr>
        <w:spacing w:line="598" w:lineRule="atLeast"/>
        <w:rPr>
          <w:rFonts w:eastAsia="仿宋"/>
          <w:color w:val="auto"/>
          <w:sz w:val="32"/>
        </w:rPr>
      </w:pPr>
    </w:p>
    <w:p w14:paraId="5F4A52B3">
      <w:pPr>
        <w:spacing w:line="598" w:lineRule="atLeast"/>
        <w:jc w:val="center"/>
        <w:rPr>
          <w:rFonts w:hint="eastAsia" w:eastAsia="仿宋"/>
          <w:color w:val="auto"/>
          <w:sz w:val="32"/>
        </w:rPr>
      </w:pPr>
    </w:p>
    <w:p w14:paraId="4D16BB6B">
      <w:pPr>
        <w:spacing w:line="598" w:lineRule="atLeast"/>
        <w:jc w:val="center"/>
        <w:rPr>
          <w:rFonts w:hint="eastAsia" w:eastAsia="仿宋"/>
          <w:color w:val="auto"/>
          <w:sz w:val="32"/>
        </w:rPr>
      </w:pPr>
    </w:p>
    <w:p w14:paraId="378C16CA">
      <w:pPr>
        <w:spacing w:line="598" w:lineRule="atLeast"/>
        <w:jc w:val="center"/>
        <w:rPr>
          <w:rFonts w:hint="eastAsia" w:eastAsia="仿宋"/>
          <w:color w:val="auto"/>
          <w:sz w:val="32"/>
        </w:rPr>
      </w:pPr>
    </w:p>
    <w:p w14:paraId="74C1F988">
      <w:pPr>
        <w:spacing w:line="598" w:lineRule="atLeast"/>
        <w:jc w:val="center"/>
        <w:rPr>
          <w:rFonts w:hint="eastAsia" w:eastAsia="仿宋"/>
          <w:color w:val="auto"/>
          <w:sz w:val="32"/>
        </w:rPr>
      </w:pPr>
    </w:p>
    <w:p w14:paraId="5F438D95">
      <w:pPr>
        <w:spacing w:line="598" w:lineRule="atLeast"/>
        <w:jc w:val="center"/>
        <w:rPr>
          <w:rFonts w:hint="eastAsia" w:eastAsia="仿宋"/>
          <w:color w:val="auto"/>
          <w:sz w:val="32"/>
        </w:rPr>
      </w:pPr>
    </w:p>
    <w:p w14:paraId="055F1783">
      <w:pPr>
        <w:spacing w:line="598" w:lineRule="atLeast"/>
        <w:jc w:val="center"/>
        <w:rPr>
          <w:rFonts w:hint="eastAsia" w:eastAsia="仿宋"/>
          <w:color w:val="auto"/>
          <w:sz w:val="32"/>
        </w:rPr>
      </w:pPr>
    </w:p>
    <w:p w14:paraId="0DADC20D">
      <w:pPr>
        <w:spacing w:line="598" w:lineRule="atLeast"/>
        <w:jc w:val="center"/>
        <w:rPr>
          <w:rFonts w:hint="eastAsia" w:eastAsia="仿宋"/>
          <w:color w:val="auto"/>
          <w:sz w:val="32"/>
        </w:rPr>
      </w:pPr>
    </w:p>
    <w:p w14:paraId="04FA6FE7">
      <w:pPr>
        <w:spacing w:line="598" w:lineRule="atLeast"/>
        <w:jc w:val="center"/>
        <w:rPr>
          <w:rFonts w:hint="eastAsia" w:ascii="黑体" w:hAnsi="黑体" w:eastAsia="黑体"/>
          <w:b/>
          <w:color w:val="auto"/>
          <w:sz w:val="32"/>
          <w:szCs w:val="32"/>
        </w:rPr>
      </w:pPr>
      <w:r>
        <w:rPr>
          <w:rFonts w:ascii="黑体" w:hAnsi="黑体" w:eastAsia="黑体"/>
          <w:b/>
          <w:color w:val="auto"/>
          <w:sz w:val="32"/>
          <w:szCs w:val="32"/>
        </w:rPr>
        <w:t>编制单位：</w:t>
      </w:r>
      <w:r>
        <w:rPr>
          <w:rFonts w:hint="eastAsia" w:ascii="黑体" w:hAnsi="黑体" w:eastAsia="黑体"/>
          <w:b/>
          <w:color w:val="auto"/>
          <w:sz w:val="32"/>
          <w:szCs w:val="32"/>
        </w:rPr>
        <w:t>额尔古纳市人民政府</w:t>
      </w:r>
    </w:p>
    <w:p w14:paraId="0BC0BCF0">
      <w:pPr>
        <w:spacing w:line="598" w:lineRule="atLeast"/>
        <w:jc w:val="center"/>
        <w:rPr>
          <w:rFonts w:ascii="黑体" w:hAnsi="黑体" w:eastAsia="黑体"/>
          <w:b/>
          <w:color w:val="auto"/>
          <w:sz w:val="32"/>
          <w:szCs w:val="32"/>
        </w:rPr>
      </w:pPr>
      <w:r>
        <w:rPr>
          <w:rFonts w:ascii="黑体" w:hAnsi="黑体" w:eastAsia="黑体"/>
          <w:b/>
          <w:color w:val="auto"/>
          <w:sz w:val="32"/>
          <w:szCs w:val="32"/>
        </w:rPr>
        <w:t>二〇二</w:t>
      </w:r>
      <w:r>
        <w:rPr>
          <w:rFonts w:hint="eastAsia" w:ascii="黑体" w:hAnsi="黑体" w:eastAsia="黑体"/>
          <w:b/>
          <w:color w:val="auto"/>
          <w:sz w:val="32"/>
          <w:szCs w:val="32"/>
          <w:lang w:val="en-US" w:eastAsia="zh-CN"/>
        </w:rPr>
        <w:t>五</w:t>
      </w:r>
      <w:r>
        <w:rPr>
          <w:rFonts w:ascii="黑体" w:hAnsi="黑体" w:eastAsia="黑体"/>
          <w:b/>
          <w:color w:val="auto"/>
          <w:sz w:val="32"/>
          <w:szCs w:val="32"/>
        </w:rPr>
        <w:t>年</w:t>
      </w:r>
      <w:r>
        <w:rPr>
          <w:rFonts w:hint="eastAsia" w:ascii="黑体" w:hAnsi="黑体" w:eastAsia="黑体"/>
          <w:b/>
          <w:color w:val="auto"/>
          <w:sz w:val="32"/>
          <w:szCs w:val="32"/>
        </w:rPr>
        <w:t>十</w:t>
      </w:r>
      <w:r>
        <w:rPr>
          <w:rFonts w:hint="eastAsia" w:ascii="黑体" w:hAnsi="黑体" w:eastAsia="黑体"/>
          <w:b/>
          <w:color w:val="auto"/>
          <w:sz w:val="32"/>
          <w:szCs w:val="32"/>
          <w:lang w:val="en-US" w:eastAsia="zh-CN"/>
        </w:rPr>
        <w:t>二</w:t>
      </w:r>
      <w:r>
        <w:rPr>
          <w:rFonts w:ascii="黑体" w:hAnsi="黑体" w:eastAsia="黑体"/>
          <w:b/>
          <w:color w:val="auto"/>
          <w:sz w:val="32"/>
          <w:szCs w:val="32"/>
        </w:rPr>
        <w:t>月</w:t>
      </w:r>
    </w:p>
    <w:p w14:paraId="7A4DBDBE">
      <w:pPr>
        <w:spacing w:line="747" w:lineRule="atLeast"/>
        <w:jc w:val="center"/>
        <w:rPr>
          <w:rFonts w:eastAsia="仿宋"/>
          <w:color w:val="auto"/>
          <w:sz w:val="44"/>
        </w:rPr>
        <w:sectPr>
          <w:footerReference r:id="rId9" w:type="first"/>
          <w:headerReference r:id="rId5" w:type="default"/>
          <w:footerReference r:id="rId7" w:type="default"/>
          <w:headerReference r:id="rId6" w:type="even"/>
          <w:footerReference r:id="rId8" w:type="even"/>
          <w:footnotePr>
            <w:numFmt w:val="decimalHalfWidth"/>
          </w:footnotePr>
          <w:endnotePr>
            <w:numFmt w:val="chineseCounting"/>
          </w:endnotePr>
          <w:pgSz w:w="11905" w:h="16837"/>
          <w:pgMar w:top="1389" w:right="1474" w:bottom="1440" w:left="1587" w:header="0" w:footer="850" w:gutter="0"/>
          <w:pgBorders>
            <w:top w:val="none" w:sz="0" w:space="0"/>
            <w:left w:val="none" w:sz="0" w:space="0"/>
            <w:bottom w:val="none" w:sz="0" w:space="0"/>
            <w:right w:val="none" w:sz="0" w:space="0"/>
          </w:pgBorders>
          <w:pgNumType w:start="0"/>
          <w:cols w:space="720" w:num="1"/>
          <w:titlePg/>
          <w:docGrid w:linePitch="272" w:charSpace="0"/>
        </w:sectPr>
      </w:pPr>
    </w:p>
    <w:p w14:paraId="4978FAB9">
      <w:pPr>
        <w:adjustRightInd w:val="0"/>
        <w:snapToGrid w:val="0"/>
        <w:spacing w:line="360" w:lineRule="auto"/>
        <w:ind w:left="0"/>
        <w:jc w:val="center"/>
        <w:rPr>
          <w:rFonts w:hint="eastAsia" w:eastAsia="仿宋"/>
          <w:b/>
          <w:color w:val="auto"/>
          <w:sz w:val="32"/>
          <w:szCs w:val="32"/>
        </w:rPr>
      </w:pPr>
    </w:p>
    <w:p w14:paraId="7118D379">
      <w:pPr>
        <w:adjustRightInd w:val="0"/>
        <w:snapToGrid w:val="0"/>
        <w:spacing w:line="360" w:lineRule="auto"/>
        <w:ind w:left="0"/>
        <w:jc w:val="center"/>
        <w:rPr>
          <w:rFonts w:eastAsia="仿宋"/>
          <w:b/>
          <w:color w:val="auto"/>
          <w:sz w:val="32"/>
          <w:szCs w:val="32"/>
        </w:rPr>
      </w:pPr>
      <w:r>
        <w:rPr>
          <w:rFonts w:hint="eastAsia" w:eastAsia="仿宋"/>
          <w:b/>
          <w:color w:val="auto"/>
          <w:sz w:val="32"/>
          <w:szCs w:val="32"/>
        </w:rPr>
        <w:t>额尔古纳市</w:t>
      </w:r>
      <w:r>
        <w:rPr>
          <w:rFonts w:eastAsia="仿宋"/>
          <w:b/>
          <w:color w:val="auto"/>
          <w:sz w:val="32"/>
          <w:szCs w:val="32"/>
        </w:rPr>
        <w:t>突发环境事件应急预案</w:t>
      </w:r>
    </w:p>
    <w:p w14:paraId="71637787">
      <w:pPr>
        <w:adjustRightInd w:val="0"/>
        <w:snapToGrid w:val="0"/>
        <w:spacing w:line="360" w:lineRule="auto"/>
        <w:ind w:left="0"/>
        <w:jc w:val="center"/>
        <w:rPr>
          <w:rFonts w:eastAsia="仿宋"/>
          <w:b/>
          <w:color w:val="auto"/>
          <w:sz w:val="32"/>
          <w:szCs w:val="32"/>
        </w:rPr>
      </w:pPr>
      <w:r>
        <w:rPr>
          <w:rFonts w:eastAsia="仿宋"/>
          <w:b/>
          <w:color w:val="auto"/>
          <w:sz w:val="32"/>
          <w:szCs w:val="32"/>
        </w:rPr>
        <w:t>发布批准书</w:t>
      </w:r>
    </w:p>
    <w:p w14:paraId="3070624B">
      <w:pPr>
        <w:spacing w:line="360" w:lineRule="auto"/>
        <w:ind w:firstLine="560" w:firstLineChars="200"/>
        <w:rPr>
          <w:rFonts w:eastAsia="仿宋"/>
          <w:color w:val="auto"/>
          <w:sz w:val="28"/>
          <w:szCs w:val="28"/>
        </w:rPr>
      </w:pPr>
      <w:r>
        <w:rPr>
          <w:rFonts w:hint="eastAsia" w:eastAsia="仿宋"/>
          <w:color w:val="auto"/>
          <w:sz w:val="28"/>
          <w:szCs w:val="28"/>
        </w:rPr>
        <w:t>为贯彻《中华人民共和国环境保护法》《中华人民共和国突发事件应对法》《国家突发环境事件应急预案》《突发环境事件应急管理办法》《内蒙古自治区突发环境事件应急预案》，预防和减少突发环境事件的发生，控制、减轻和消除突发环境事件的危害，保障额尔古纳市</w:t>
      </w:r>
      <w:r>
        <w:rPr>
          <w:rFonts w:hint="eastAsia" w:eastAsia="仿宋"/>
          <w:color w:val="auto"/>
          <w:sz w:val="28"/>
          <w:szCs w:val="28"/>
          <w:lang w:eastAsia="zh-CN"/>
        </w:rPr>
        <w:t>居民、各企事业单位的员工人身安全及财产安全，本着“以人为本，预防为主、属地为主、先期处置、平战结合、科学应对”的原则，</w:t>
      </w:r>
      <w:r>
        <w:rPr>
          <w:rFonts w:hint="eastAsia" w:eastAsia="仿宋"/>
          <w:color w:val="auto"/>
          <w:sz w:val="28"/>
          <w:szCs w:val="28"/>
        </w:rPr>
        <w:t>额尔古纳市</w:t>
      </w:r>
      <w:r>
        <w:rPr>
          <w:rFonts w:eastAsia="仿宋"/>
          <w:color w:val="auto"/>
          <w:sz w:val="28"/>
          <w:szCs w:val="28"/>
        </w:rPr>
        <w:t>人民政府和呼伦贝尔市生态环境局</w:t>
      </w:r>
      <w:r>
        <w:rPr>
          <w:rFonts w:hint="eastAsia" w:eastAsia="仿宋"/>
          <w:color w:val="auto"/>
          <w:sz w:val="28"/>
          <w:szCs w:val="28"/>
        </w:rPr>
        <w:t>额尔古纳市分局</w:t>
      </w:r>
      <w:r>
        <w:rPr>
          <w:rFonts w:eastAsia="仿宋"/>
          <w:color w:val="auto"/>
          <w:sz w:val="28"/>
          <w:szCs w:val="28"/>
        </w:rPr>
        <w:t>等相关技术人员组成应急预案编制小组，结合</w:t>
      </w:r>
      <w:r>
        <w:rPr>
          <w:rFonts w:hint="eastAsia" w:eastAsia="仿宋"/>
          <w:color w:val="auto"/>
          <w:sz w:val="28"/>
          <w:szCs w:val="28"/>
        </w:rPr>
        <w:t>额尔古纳市</w:t>
      </w:r>
      <w:r>
        <w:rPr>
          <w:rFonts w:eastAsia="仿宋"/>
          <w:color w:val="auto"/>
          <w:sz w:val="28"/>
          <w:szCs w:val="28"/>
        </w:rPr>
        <w:t>的实际情况，编制完成了《</w:t>
      </w:r>
      <w:r>
        <w:rPr>
          <w:rFonts w:hint="eastAsia" w:eastAsia="仿宋"/>
          <w:color w:val="auto"/>
          <w:sz w:val="28"/>
          <w:szCs w:val="28"/>
        </w:rPr>
        <w:t>额尔古纳市</w:t>
      </w:r>
      <w:r>
        <w:rPr>
          <w:rFonts w:eastAsia="仿宋"/>
          <w:color w:val="auto"/>
          <w:sz w:val="28"/>
          <w:szCs w:val="28"/>
        </w:rPr>
        <w:t>突发环境事件应急预案》，经充分讨论和专家评审通过，</w:t>
      </w:r>
      <w:r>
        <w:rPr>
          <w:rFonts w:hint="eastAsia" w:eastAsia="仿宋"/>
          <w:color w:val="auto"/>
          <w:sz w:val="28"/>
          <w:szCs w:val="28"/>
        </w:rPr>
        <w:t>现已备案，</w:t>
      </w:r>
      <w:r>
        <w:rPr>
          <w:rFonts w:eastAsia="仿宋"/>
          <w:color w:val="auto"/>
          <w:sz w:val="28"/>
          <w:szCs w:val="28"/>
        </w:rPr>
        <w:t>正式</w:t>
      </w:r>
      <w:r>
        <w:rPr>
          <w:rFonts w:hint="eastAsia" w:eastAsia="仿宋"/>
          <w:color w:val="auto"/>
          <w:sz w:val="28"/>
          <w:szCs w:val="28"/>
        </w:rPr>
        <w:t>批准</w:t>
      </w:r>
      <w:r>
        <w:rPr>
          <w:rFonts w:eastAsia="仿宋"/>
          <w:color w:val="auto"/>
          <w:sz w:val="28"/>
          <w:szCs w:val="28"/>
        </w:rPr>
        <w:t>发布。</w:t>
      </w:r>
    </w:p>
    <w:p w14:paraId="1E69BA9B">
      <w:pPr>
        <w:spacing w:line="360" w:lineRule="auto"/>
        <w:ind w:firstLine="640" w:firstLineChars="200"/>
        <w:rPr>
          <w:rFonts w:eastAsia="仿宋"/>
          <w:color w:val="auto"/>
          <w:sz w:val="32"/>
          <w:szCs w:val="28"/>
        </w:rPr>
      </w:pPr>
    </w:p>
    <w:p w14:paraId="1166118A">
      <w:pPr>
        <w:spacing w:line="360" w:lineRule="auto"/>
        <w:ind w:firstLine="640" w:firstLineChars="200"/>
        <w:rPr>
          <w:rFonts w:hint="eastAsia" w:eastAsia="仿宋"/>
          <w:color w:val="auto"/>
          <w:sz w:val="32"/>
          <w:szCs w:val="28"/>
        </w:rPr>
      </w:pPr>
    </w:p>
    <w:p w14:paraId="3D974531">
      <w:pPr>
        <w:spacing w:line="360" w:lineRule="auto"/>
        <w:ind w:firstLine="640" w:firstLineChars="200"/>
        <w:rPr>
          <w:rFonts w:hint="eastAsia" w:eastAsia="仿宋"/>
          <w:color w:val="auto"/>
          <w:sz w:val="32"/>
          <w:szCs w:val="28"/>
        </w:rPr>
      </w:pPr>
    </w:p>
    <w:p w14:paraId="5ECB9095">
      <w:pPr>
        <w:spacing w:line="360" w:lineRule="auto"/>
        <w:ind w:firstLine="640" w:firstLineChars="200"/>
        <w:rPr>
          <w:rFonts w:hint="eastAsia" w:eastAsia="仿宋"/>
          <w:color w:val="auto"/>
          <w:sz w:val="32"/>
          <w:szCs w:val="28"/>
        </w:rPr>
      </w:pPr>
    </w:p>
    <w:p w14:paraId="34A441D5">
      <w:pPr>
        <w:spacing w:line="360" w:lineRule="auto"/>
        <w:ind w:firstLine="640" w:firstLineChars="200"/>
        <w:rPr>
          <w:rFonts w:hint="eastAsia" w:eastAsia="仿宋"/>
          <w:color w:val="auto"/>
          <w:sz w:val="32"/>
          <w:szCs w:val="28"/>
        </w:rPr>
      </w:pPr>
    </w:p>
    <w:p w14:paraId="3FE56C58">
      <w:pPr>
        <w:spacing w:line="360" w:lineRule="auto"/>
        <w:ind w:firstLine="640" w:firstLineChars="200"/>
        <w:rPr>
          <w:rFonts w:hint="eastAsia" w:eastAsia="仿宋"/>
          <w:color w:val="auto"/>
          <w:sz w:val="32"/>
          <w:szCs w:val="28"/>
        </w:rPr>
      </w:pPr>
    </w:p>
    <w:p w14:paraId="7AC43AAC">
      <w:pPr>
        <w:spacing w:line="360" w:lineRule="auto"/>
        <w:ind w:firstLine="640" w:firstLineChars="200"/>
        <w:rPr>
          <w:rFonts w:eastAsia="仿宋"/>
          <w:color w:val="auto"/>
          <w:sz w:val="32"/>
          <w:szCs w:val="28"/>
        </w:rPr>
      </w:pPr>
    </w:p>
    <w:p w14:paraId="0304EEDF">
      <w:pPr>
        <w:spacing w:line="360" w:lineRule="auto"/>
        <w:ind w:firstLine="4676" w:firstLineChars="1670"/>
        <w:rPr>
          <w:rFonts w:eastAsia="仿宋"/>
          <w:color w:val="auto"/>
          <w:sz w:val="28"/>
          <w:szCs w:val="28"/>
        </w:rPr>
      </w:pPr>
      <w:r>
        <w:rPr>
          <w:rFonts w:eastAsia="仿宋"/>
          <w:color w:val="auto"/>
          <w:sz w:val="28"/>
          <w:szCs w:val="28"/>
        </w:rPr>
        <w:t>批准人：（签名）</w:t>
      </w:r>
    </w:p>
    <w:p w14:paraId="1594F263">
      <w:pPr>
        <w:spacing w:line="747" w:lineRule="atLeast"/>
        <w:jc w:val="right"/>
        <w:rPr>
          <w:rFonts w:eastAsia="仿宋"/>
          <w:color w:val="auto"/>
          <w:sz w:val="44"/>
        </w:rPr>
      </w:pPr>
      <w:r>
        <w:rPr>
          <w:rFonts w:eastAsia="仿宋"/>
          <w:color w:val="auto"/>
          <w:sz w:val="28"/>
          <w:szCs w:val="28"/>
        </w:rPr>
        <w:t>日期：</w:t>
      </w:r>
      <w:r>
        <w:rPr>
          <w:rFonts w:hint="eastAsia" w:eastAsia="仿宋"/>
          <w:color w:val="auto"/>
          <w:sz w:val="28"/>
          <w:szCs w:val="28"/>
        </w:rPr>
        <w:t xml:space="preserve">     </w:t>
      </w:r>
      <w:r>
        <w:rPr>
          <w:rFonts w:eastAsia="仿宋"/>
          <w:color w:val="auto"/>
          <w:sz w:val="28"/>
          <w:szCs w:val="28"/>
        </w:rPr>
        <w:t>年</w:t>
      </w:r>
      <w:r>
        <w:rPr>
          <w:rFonts w:hint="eastAsia" w:eastAsia="仿宋"/>
          <w:color w:val="auto"/>
          <w:sz w:val="28"/>
          <w:szCs w:val="28"/>
        </w:rPr>
        <w:t xml:space="preserve">    </w:t>
      </w:r>
      <w:r>
        <w:rPr>
          <w:rFonts w:eastAsia="仿宋"/>
          <w:color w:val="auto"/>
          <w:sz w:val="28"/>
          <w:szCs w:val="28"/>
        </w:rPr>
        <w:t>月</w:t>
      </w:r>
      <w:r>
        <w:rPr>
          <w:rFonts w:hint="eastAsia" w:eastAsia="仿宋"/>
          <w:color w:val="auto"/>
          <w:sz w:val="28"/>
          <w:szCs w:val="28"/>
        </w:rPr>
        <w:t xml:space="preserve">    </w:t>
      </w:r>
      <w:r>
        <w:rPr>
          <w:rFonts w:eastAsia="仿宋"/>
          <w:color w:val="auto"/>
          <w:sz w:val="28"/>
          <w:szCs w:val="28"/>
        </w:rPr>
        <w:t>日</w:t>
      </w:r>
    </w:p>
    <w:p w14:paraId="06ED1BCE">
      <w:pPr>
        <w:spacing w:line="747" w:lineRule="atLeast"/>
        <w:jc w:val="center"/>
        <w:rPr>
          <w:rFonts w:eastAsia="仿宋"/>
          <w:color w:val="auto"/>
          <w:sz w:val="44"/>
        </w:rPr>
      </w:pPr>
    </w:p>
    <w:p w14:paraId="1C3B0E61">
      <w:pPr>
        <w:spacing w:line="747" w:lineRule="atLeast"/>
        <w:jc w:val="center"/>
        <w:rPr>
          <w:rFonts w:eastAsia="仿宋"/>
          <w:color w:val="auto"/>
          <w:sz w:val="44"/>
        </w:rPr>
        <w:sectPr>
          <w:footerReference r:id="rId10" w:type="first"/>
          <w:footnotePr>
            <w:numFmt w:val="decimalHalfWidth"/>
          </w:footnotePr>
          <w:endnotePr>
            <w:numFmt w:val="chineseCounting"/>
          </w:endnotePr>
          <w:pgSz w:w="11905" w:h="16837"/>
          <w:pgMar w:top="1389" w:right="1474" w:bottom="1440" w:left="1587" w:header="0" w:footer="850" w:gutter="0"/>
          <w:pgBorders>
            <w:top w:val="none" w:sz="0" w:space="0"/>
            <w:left w:val="none" w:sz="0" w:space="0"/>
            <w:bottom w:val="none" w:sz="0" w:space="0"/>
            <w:right w:val="none" w:sz="0" w:space="0"/>
          </w:pgBorders>
          <w:pgNumType w:start="0"/>
          <w:cols w:space="720" w:num="1"/>
          <w:titlePg/>
          <w:docGrid w:linePitch="272" w:charSpace="0"/>
        </w:sectPr>
      </w:pPr>
    </w:p>
    <w:p w14:paraId="769C7BCE">
      <w:pPr>
        <w:pStyle w:val="27"/>
        <w:bidi w:val="0"/>
        <w:rPr>
          <w:rFonts w:hint="eastAsia"/>
          <w:sz w:val="40"/>
          <w:szCs w:val="28"/>
        </w:rPr>
      </w:pPr>
      <w:r>
        <w:rPr>
          <w:rFonts w:hint="eastAsia"/>
          <w:sz w:val="40"/>
          <w:szCs w:val="28"/>
        </w:rPr>
        <w:t>额尔古纳市突发环境事件应急预案</w:t>
      </w:r>
    </w:p>
    <w:p w14:paraId="37C807AA">
      <w:pPr>
        <w:pStyle w:val="27"/>
        <w:bidi w:val="0"/>
        <w:rPr>
          <w:sz w:val="40"/>
          <w:szCs w:val="28"/>
        </w:rPr>
      </w:pPr>
      <w:r>
        <w:rPr>
          <w:rFonts w:hint="eastAsia"/>
          <w:sz w:val="40"/>
          <w:szCs w:val="28"/>
        </w:rPr>
        <w:t>参编单位及人员</w:t>
      </w:r>
    </w:p>
    <w:p w14:paraId="4DE65DD0">
      <w:pPr>
        <w:spacing w:line="480" w:lineRule="auto"/>
        <w:ind w:firstLine="241" w:firstLineChars="100"/>
        <w:rPr>
          <w:rFonts w:ascii="宋体" w:hAnsi="宋体" w:eastAsia="宋体" w:cs="Times New Roman"/>
          <w:b/>
          <w:bCs/>
          <w:color w:val="auto"/>
          <w:sz w:val="24"/>
        </w:rPr>
      </w:pPr>
    </w:p>
    <w:p w14:paraId="198790A4">
      <w:pPr>
        <w:pStyle w:val="7"/>
        <w:bidi w:val="0"/>
        <w:rPr>
          <w:rFonts w:hint="eastAsia"/>
        </w:rPr>
      </w:pPr>
      <w:r>
        <w:rPr>
          <w:rFonts w:hint="eastAsia"/>
        </w:rPr>
        <w:t xml:space="preserve">史佳鑫 </w:t>
      </w:r>
      <w:r>
        <w:rPr>
          <w:rFonts w:hint="eastAsia"/>
          <w:lang w:val="en-US" w:eastAsia="zh-CN"/>
        </w:rPr>
        <w:t xml:space="preserve">  </w:t>
      </w:r>
      <w:r>
        <w:rPr>
          <w:rFonts w:hint="eastAsia"/>
        </w:rPr>
        <w:t>呼伦贝尔市生态环境局综合保障中心</w:t>
      </w:r>
    </w:p>
    <w:p w14:paraId="0F38B30C">
      <w:pPr>
        <w:pStyle w:val="7"/>
        <w:bidi w:val="0"/>
        <w:rPr>
          <w:rFonts w:hint="eastAsia"/>
        </w:rPr>
      </w:pPr>
      <w:r>
        <w:rPr>
          <w:rFonts w:hint="eastAsia"/>
        </w:rPr>
        <w:t xml:space="preserve">金萧宇 </w:t>
      </w:r>
      <w:r>
        <w:rPr>
          <w:rFonts w:hint="eastAsia"/>
          <w:lang w:val="en-US" w:eastAsia="zh-CN"/>
        </w:rPr>
        <w:t xml:space="preserve">  </w:t>
      </w:r>
      <w:r>
        <w:rPr>
          <w:rFonts w:hint="eastAsia"/>
        </w:rPr>
        <w:t>额尔古纳市生态环境监测中心</w:t>
      </w:r>
    </w:p>
    <w:p w14:paraId="33E82542">
      <w:pPr>
        <w:pStyle w:val="7"/>
        <w:bidi w:val="0"/>
        <w:rPr>
          <w:rFonts w:hint="eastAsia"/>
        </w:rPr>
      </w:pPr>
      <w:r>
        <w:rPr>
          <w:rFonts w:hint="eastAsia"/>
        </w:rPr>
        <w:t xml:space="preserve">黄 </w:t>
      </w:r>
      <w:r>
        <w:rPr>
          <w:rFonts w:hint="eastAsia"/>
          <w:lang w:val="en-US" w:eastAsia="zh-CN"/>
        </w:rPr>
        <w:t xml:space="preserve"> </w:t>
      </w:r>
      <w:r>
        <w:rPr>
          <w:rFonts w:hint="eastAsia"/>
        </w:rPr>
        <w:t xml:space="preserve">伟 </w:t>
      </w:r>
      <w:r>
        <w:rPr>
          <w:rFonts w:hint="eastAsia"/>
          <w:lang w:val="en-US" w:eastAsia="zh-CN"/>
        </w:rPr>
        <w:t xml:space="preserve">  </w:t>
      </w:r>
      <w:r>
        <w:rPr>
          <w:rFonts w:hint="eastAsia"/>
        </w:rPr>
        <w:t>额尔古纳市生态环境监测中心</w:t>
      </w:r>
    </w:p>
    <w:p w14:paraId="46ABEF7E">
      <w:pPr>
        <w:pStyle w:val="7"/>
        <w:bidi w:val="0"/>
        <w:rPr>
          <w:rFonts w:hint="eastAsia"/>
        </w:rPr>
      </w:pPr>
      <w:r>
        <w:rPr>
          <w:rFonts w:hint="eastAsia"/>
        </w:rPr>
        <w:t xml:space="preserve">刘子奇 </w:t>
      </w:r>
      <w:r>
        <w:rPr>
          <w:rFonts w:hint="eastAsia"/>
          <w:lang w:val="en-US" w:eastAsia="zh-CN"/>
        </w:rPr>
        <w:t xml:space="preserve">  </w:t>
      </w:r>
      <w:r>
        <w:rPr>
          <w:rFonts w:hint="eastAsia"/>
        </w:rPr>
        <w:t>额尔古纳市生态环境监测中心</w:t>
      </w:r>
    </w:p>
    <w:p w14:paraId="0294D0C0">
      <w:pPr>
        <w:pStyle w:val="7"/>
        <w:bidi w:val="0"/>
        <w:rPr>
          <w:rFonts w:hint="eastAsia"/>
        </w:rPr>
      </w:pPr>
      <w:r>
        <w:rPr>
          <w:rFonts w:hint="eastAsia"/>
        </w:rPr>
        <w:t xml:space="preserve">李晓泽 </w:t>
      </w:r>
      <w:r>
        <w:rPr>
          <w:rFonts w:hint="eastAsia"/>
          <w:lang w:val="en-US" w:eastAsia="zh-CN"/>
        </w:rPr>
        <w:t xml:space="preserve">  </w:t>
      </w:r>
      <w:r>
        <w:rPr>
          <w:rFonts w:hint="eastAsia"/>
        </w:rPr>
        <w:t>额尔古纳市生态环境监测中心</w:t>
      </w:r>
    </w:p>
    <w:p w14:paraId="2409BA55">
      <w:pPr>
        <w:pStyle w:val="7"/>
        <w:bidi w:val="0"/>
        <w:rPr>
          <w:rFonts w:hint="eastAsia"/>
        </w:rPr>
      </w:pPr>
      <w:r>
        <w:rPr>
          <w:rFonts w:hint="eastAsia"/>
        </w:rPr>
        <w:t>赵艳玲</w:t>
      </w:r>
      <w:r>
        <w:rPr>
          <w:rFonts w:hint="eastAsia"/>
          <w:lang w:val="en-US" w:eastAsia="zh-CN"/>
        </w:rPr>
        <w:t xml:space="preserve">  </w:t>
      </w:r>
      <w:r>
        <w:rPr>
          <w:rFonts w:hint="eastAsia"/>
        </w:rPr>
        <w:t xml:space="preserve"> 额尔古纳市生态环境监测中心</w:t>
      </w:r>
    </w:p>
    <w:p w14:paraId="0195DA92">
      <w:pPr>
        <w:pStyle w:val="7"/>
        <w:bidi w:val="0"/>
        <w:rPr>
          <w:rFonts w:hint="eastAsia"/>
        </w:rPr>
      </w:pPr>
      <w:r>
        <w:rPr>
          <w:rFonts w:hint="eastAsia"/>
        </w:rPr>
        <w:t xml:space="preserve">何 </w:t>
      </w:r>
      <w:r>
        <w:rPr>
          <w:rFonts w:hint="eastAsia"/>
          <w:lang w:val="en-US" w:eastAsia="zh-CN"/>
        </w:rPr>
        <w:t xml:space="preserve"> </w:t>
      </w:r>
      <w:r>
        <w:rPr>
          <w:rFonts w:hint="eastAsia"/>
        </w:rPr>
        <w:t xml:space="preserve">馨 </w:t>
      </w:r>
      <w:r>
        <w:rPr>
          <w:rFonts w:hint="eastAsia"/>
          <w:lang w:val="en-US" w:eastAsia="zh-CN"/>
        </w:rPr>
        <w:t xml:space="preserve">  </w:t>
      </w:r>
      <w:r>
        <w:rPr>
          <w:rFonts w:hint="eastAsia"/>
        </w:rPr>
        <w:t>额尔古纳市生态环境监测中心</w:t>
      </w:r>
    </w:p>
    <w:p w14:paraId="69442822">
      <w:pPr>
        <w:pStyle w:val="7"/>
        <w:bidi w:val="0"/>
      </w:pPr>
      <w:r>
        <w:rPr>
          <w:rFonts w:hint="eastAsia"/>
        </w:rPr>
        <w:t xml:space="preserve">周旭晖 </w:t>
      </w:r>
      <w:r>
        <w:rPr>
          <w:rFonts w:hint="eastAsia"/>
          <w:lang w:val="en-US" w:eastAsia="zh-CN"/>
        </w:rPr>
        <w:t xml:space="preserve">  </w:t>
      </w:r>
      <w:r>
        <w:rPr>
          <w:rFonts w:hint="eastAsia"/>
        </w:rPr>
        <w:t>额尔古纳市生态环境监测中心</w:t>
      </w:r>
    </w:p>
    <w:p w14:paraId="320D8CE5">
      <w:pPr>
        <w:pStyle w:val="7"/>
        <w:bidi w:val="0"/>
        <w:rPr>
          <w:rFonts w:ascii="宋体" w:hAnsi="宋体" w:eastAsia="宋体" w:cs="Times New Roman"/>
          <w:bCs/>
          <w:color w:val="auto"/>
        </w:rPr>
      </w:pPr>
      <w:r>
        <w:rPr>
          <w:rFonts w:hint="eastAsia"/>
        </w:rPr>
        <w:t xml:space="preserve">郗静慧 </w:t>
      </w:r>
      <w:r>
        <w:rPr>
          <w:rFonts w:hint="eastAsia"/>
          <w:lang w:val="en-US" w:eastAsia="zh-CN"/>
        </w:rPr>
        <w:t xml:space="preserve">  </w:t>
      </w:r>
      <w:r>
        <w:rPr>
          <w:rFonts w:hint="eastAsia"/>
        </w:rPr>
        <w:t>内蒙古至星项目管理咨询有限公司</w:t>
      </w:r>
    </w:p>
    <w:p w14:paraId="1EAACA9F">
      <w:pPr>
        <w:pStyle w:val="25"/>
        <w:sectPr>
          <w:footnotePr>
            <w:numFmt w:val="decimalHalfWidth"/>
          </w:footnotePr>
          <w:endnotePr>
            <w:numFmt w:val="chineseCounting"/>
          </w:endnotePr>
          <w:pgSz w:w="11905" w:h="16837"/>
          <w:pgMar w:top="1389" w:right="1474" w:bottom="1440" w:left="1587" w:header="0" w:footer="850" w:gutter="0"/>
          <w:pgBorders>
            <w:top w:val="none" w:sz="0" w:space="0"/>
            <w:left w:val="none" w:sz="0" w:space="0"/>
            <w:bottom w:val="none" w:sz="0" w:space="0"/>
            <w:right w:val="none" w:sz="0" w:space="0"/>
          </w:pgBorders>
          <w:pgNumType w:start="0"/>
          <w:cols w:space="720" w:num="1"/>
          <w:titlePg/>
          <w:docGrid w:linePitch="272" w:charSpace="0"/>
        </w:sectPr>
      </w:pPr>
    </w:p>
    <w:p w14:paraId="689C80CD">
      <w:pPr>
        <w:tabs>
          <w:tab w:val="left" w:pos="0"/>
        </w:tabs>
        <w:jc w:val="center"/>
        <w:rPr>
          <w:rFonts w:ascii="仿宋" w:hAnsi="仿宋" w:eastAsia="仿宋"/>
          <w:b/>
          <w:bCs/>
          <w:color w:val="auto"/>
          <w:sz w:val="36"/>
          <w:szCs w:val="36"/>
          <w:lang w:val="zh-CN"/>
        </w:rPr>
      </w:pPr>
      <w:bookmarkStart w:id="0" w:name="_Toc2032134174"/>
      <w:r>
        <w:rPr>
          <w:rFonts w:ascii="仿宋" w:hAnsi="仿宋" w:eastAsia="仿宋"/>
          <w:b/>
          <w:bCs/>
          <w:color w:val="auto"/>
          <w:sz w:val="36"/>
          <w:szCs w:val="36"/>
          <w:lang w:val="zh-CN"/>
        </w:rPr>
        <w:t>目</w:t>
      </w:r>
      <w:r>
        <w:rPr>
          <w:rFonts w:hint="eastAsia" w:ascii="仿宋" w:hAnsi="仿宋" w:eastAsia="仿宋"/>
          <w:b/>
          <w:bCs/>
          <w:color w:val="auto"/>
          <w:sz w:val="36"/>
          <w:szCs w:val="36"/>
          <w:lang w:val="zh-CN"/>
        </w:rPr>
        <w:t xml:space="preserve"> </w:t>
      </w:r>
      <w:r>
        <w:rPr>
          <w:rFonts w:ascii="仿宋" w:hAnsi="仿宋" w:eastAsia="仿宋"/>
          <w:b/>
          <w:bCs/>
          <w:color w:val="auto"/>
          <w:sz w:val="36"/>
          <w:szCs w:val="36"/>
          <w:lang w:val="zh-CN"/>
        </w:rPr>
        <w:t>录</w:t>
      </w:r>
      <w:bookmarkEnd w:id="0"/>
    </w:p>
    <w:p w14:paraId="063D2A23">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color w:val="auto"/>
          <w:sz w:val="24"/>
          <w:szCs w:val="24"/>
        </w:rPr>
        <w:instrText xml:space="preserve">TOC \o "1-3" \h \u </w:instrText>
      </w:r>
      <w:r>
        <w:rPr>
          <w:rFonts w:hint="default" w:ascii="Times New Roman" w:hAnsi="Times New Roman" w:eastAsia="仿宋" w:cs="Times New Roman"/>
          <w:i w:val="0"/>
          <w:iCs w:val="0"/>
          <w:color w:val="auto"/>
          <w:sz w:val="24"/>
          <w:szCs w:val="24"/>
        </w:rPr>
        <w:fldChar w:fldCharType="separate"/>
      </w: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_Toc12688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 总则</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_Toc12688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CD9960E">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_Toc23644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1.1 编制目的</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_Toc23644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2237DE0">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_Toc6174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 编制依据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_Toc6174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5C363B0">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_Toc21850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1.2.1 法律依据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_Toc21850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0989118">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_Toc7503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1.2.2 法规依据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_Toc7503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3558C30">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_Toc4838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1.2.3 标准与技术规范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_Toc4838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251152D">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_Toc9324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1.3 适用范围</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_Toc9324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68BE8D0">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_Toc18666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 工作原则</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_Toc18666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9001D05">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_Toc117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1.4.1 以人为本，预防为主</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_Toc117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E7143EE">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_Toc6707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1.4.2 统一领导，分级负责</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_Toc6707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9E4306C">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_Toc15750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1.4.3 履行责任，加强合作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_Toc15750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1E7133B">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_Toc11476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1.4.4 科学应对，高效处置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_Toc11476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D499659">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_Toc4680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1.4.5 加强监管，防微杜渐</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_Toc4680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E797738">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_Toc19012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1.4.6 平战结合，专兼结合</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_Toc19012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8B6F860">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_Toc8700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1.5 突发环境事件分级</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_Toc8700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47EEDF0">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_Toc12733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1.5.1 《突发环境事件信息报告办法》(生态环境部第17号令)附录规定突发环境事件分级</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_Toc12733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FA66EC3">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_Toc15340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 xml:space="preserve">1.5.2 </w:t>
      </w:r>
      <w:r>
        <w:rPr>
          <w:rFonts w:hint="default" w:ascii="Times New Roman" w:hAnsi="Times New Roman" w:eastAsia="仿宋" w:cs="Times New Roman"/>
          <w:i w:val="0"/>
          <w:iCs w:val="0"/>
          <w:sz w:val="24"/>
          <w:szCs w:val="24"/>
          <w:lang w:val="en-US" w:eastAsia="zh-CN"/>
        </w:rPr>
        <w:t>额尔古纳市突发环境事件分级</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_Toc15340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CB6F330">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_Toc13943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1.6 突发环境事件分类</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_Toc13943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625293C">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_Toc27455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 组织体系和职责</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_Toc27455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525CE1C">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_Toc20641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2.1 应急救援组织机构设置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_Toc20641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9C377F7">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_Toc637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2.2 应急救援组织机构职责</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_Toc637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DC76717">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_Toc16208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2.2.1 应急指挥部主要职责</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_Toc16208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9F0CE3B">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_Toc26709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2.2.2 应急指挥部成员及职责分工</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_Toc26709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ED4E117">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_Toc2746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2.2.3 应急办公室成员及职责分工</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_Toc2746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478560A">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_Toc22363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2.2.4 应急救援队伍成员及职责分工</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_Toc22363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7BF8ED1">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_Toc29048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2.3 外部应急救援组织</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_Toc29048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A8279EF">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_Toc4305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2.4 上级政府主导应急处置后的指挥与协调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_Toc4305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01E8197">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_Toc24740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 预防与预警</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_Toc24740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9DE5D0F">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_Toc17093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 环境风险预防</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_Toc17093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D987F55">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_Toc22022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3.1.1 开展污染源调查</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_Toc22022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1748B90">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_Toc9219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3.1.2 环境风险源管理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_Toc9219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2C35BE1">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_Toc17598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3.1.3 加强环境事件风险评价和信息库建设</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_Toc17598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D913723">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_Toc7338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3.1.4 加强环境应急预警的科研开发工作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_Toc7338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7D32601">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_Toc6142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3.2 预警分级与准备</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_Toc6142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B8C738E">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_Toc18540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3.2.1 预警分级</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_Toc18540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29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E75A97B">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_Toc3283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3.2.2 预警准备</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_Toc3283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96FFDA2">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_Toc18363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3.3 预警信息报告</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_Toc18363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17240C9">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_Toc8983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3.4 预警信息发布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_Toc8983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05F2766">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_Toc16244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3.5 预警行动</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_Toc16244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B6C8722">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_Toc9978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3.6 预警级别调整和解除</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_Toc9978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8B88809">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_Toc8901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3.7 预警措施</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_Toc8901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E4FDC6C">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_Toc8130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3.8 预警监测</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_Toc8130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6F8D765">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_Toc352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3.9 报警、通讯联络方式</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_Toc352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46206B0">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_Toc5562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 应急响应和救援措施</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_Toc5562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8AE27AE">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_Toc9278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 应急预案启动</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_Toc9278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B7C7D40">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_Toc28775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4.2 信息报告</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_Toc28775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E03497B">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_Toc21886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4.2.1 突发环境事件信息接报与处理</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_Toc21886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E210620">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_Toc30578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4.2.2 报告时限要求和程序</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_Toc30578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E686EB6">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_Toc21534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4.2.3 事故报告方式和内容</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_Toc21534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39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6312CB4">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_Toc5106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4.2.4 通报可能影响的区域</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_Toc5106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59554AB">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_Toc15010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4.3 分级响应</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_Toc15010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DA8B057">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_Toc7416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4.3.1 响应分级</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_Toc7416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CBF65C6">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_Toc6128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4.3.2 响应行动</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_Toc6128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3CBEC6D">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_Toc4494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4.4 指挥与协调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_Toc4494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94330B2">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_Toc13270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4.4.1 指挥协调机制</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_Toc13270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AB946FB">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_Toc29569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4.4.2 指挥协调的主要内容</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_Toc29569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D47DEB9">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_Toc1320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4.5 市级层面应对工作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_Toc1320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ECB1AB4">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_Toc20912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4.6 应急救援</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_Toc20912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ABD4ED4">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_Toc19790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4.6.1 先期处置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_Toc19790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0FB6AEF">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_Toc17857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4.6.2 现场紧急处置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_Toc17857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8260836">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_Toc11703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4.6.3 突发环境事件一般处置方案</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_Toc11703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906BFE8">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_Toc2136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4.7 扩大应急</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_Toc2136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0B17035">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_Toc28058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4.8 现场急救重点</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_Toc28058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AA02853">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_Toc6227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4.9 应急监测</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_Toc6227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C62C39D">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_Toc6877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4.9.1 应急监测启动</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_Toc6877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30D51A5">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_Toc5268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4.9.2 应急监测的准备</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_Toc5268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D77FADD">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_Toc18207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4.9.3 应急监测方案的确定</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_Toc18207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72458C2">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_Toc9562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4.9.4 应急监测报告与终止</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_Toc9562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81FC148">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_Toc27198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4.10 安全防护</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_Toc27198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00B361B">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_Toc31045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4.10.1 建立警戒区</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_Toc31045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4526DF7">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_Toc32200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4.10.2 应急人员的安全防护</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_Toc32200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8BA35F6">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_Toc15209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4.10.3 受灾群众的安全防护</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_Toc15209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317957F">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_Toc16697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4.10.4 现场人员的撤离</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_Toc16697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41F1AAE">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_Toc21285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4.10.5 物资的疏散</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_Toc21285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8BA037A">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_Toc21753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4.11 信息发布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_Toc21753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D0FE2F4">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_Toc928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4.12 应急终止</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_Toc928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940BD64">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_Toc2677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4.12.1 应急终止条件</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_Toc2677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BB341DA">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_Toc28681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4.12.2 应急终止程序</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_Toc28681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CF06EAA">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_Toc31173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4.12.3 应急终止后的行动</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_Toc31173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0885A5C">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_Toc29464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 后期处置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_Toc29464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9AC6B18">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_Toc12732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5.1 善后处置</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_Toc12732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323CFA7">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_Toc27492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5.2 次生灾害防范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_Toc27492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0CA984C">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_Toc15712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5.3 调查评估</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_Toc15712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921CC3B">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_Toc27522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5.4 恢复重建</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_Toc27522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CDF1432">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_Toc21005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5.5 善后赔偿</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_Toc21005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CD114C5">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_Toc29709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 应急保障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_Toc29709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D087FC8">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_Toc21463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6.1 人力资源保障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_Toc21463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CFFA771">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_Toc20234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6.2 经费保障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_Toc20234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3529B0E">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_Toc2540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6.3 物资保障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_Toc2540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D834F94">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_Toc8002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6.4 装备保障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_Toc8002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2A097AA">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_Toc27390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6.5 医疗保障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_Toc27390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80C6426">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_Toc2946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6.6 交通运输保障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_Toc2946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73486C6">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_Toc27133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6.7 治安维护</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_Toc27133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4F46978">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_Toc27884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6.8 通讯保障</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_Toc27884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79</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00DA013">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_Toc11690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6.9 科技支撑</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_Toc11690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F7D26DE">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_Toc24764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6.10 应急联动机制</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_Toc24764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310437B">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_Toc12753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 应急培训及演练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_Toc12753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329D02C8">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_Toc24868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7.1 应急预案演练</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_Toc24868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81</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88BF01F">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_Toc1825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7.2 宣教培训</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_Toc1825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51979A4">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_Toc26167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7.2.1 宣传教育</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_Toc26167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C3D4D38">
      <w:pPr>
        <w:pStyle w:val="15"/>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_Toc20224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7.2.2 培训</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_Toc20224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7ACE033">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_Toc22263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 奖惩措施</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_Toc22263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72885CB0">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_Toc15055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8.1 表彰与奖励</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_Toc15055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3631D9A">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_Toc5118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8.2 责任追究</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_Toc5118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F2933F5">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_Toc21112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 附则</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_Toc21112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6B369DC">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_Toc28774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9.1 名词解释</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_Toc28774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FB68085">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_Toc9275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9.2 预案编制和解释</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_Toc9275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DD11AEA">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_Toc21198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9.3 预案修订</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_Toc21198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62FE74D">
      <w:pPr>
        <w:pStyle w:val="19"/>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_Toc20500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9.4 预案实施</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_Toc20500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88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8097D7E">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_Toc18353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附件1：额尔古纳市突发环境事件应急救援组织机构成员名单</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_Toc18353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90</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AA962A9">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_Toc13113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附件2：政府有关部门联系电话一览表</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_Toc13113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160DC3E8">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_Toc22391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附件3：额尔古纳市突发环境事件应急工作流程</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_Toc22391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93</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4E3E92C0">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_Toc23665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附件4：典型环境风险事故应急处置卡</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_Toc23665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94</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65AFBB29">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_Toc17878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附件5：标准化格式文本</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_Toc17878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112</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A785B22">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_Toc30816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附图1：地理位置图</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_Toc30816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125</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5F72AEB">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_Toc19844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w:t>
      </w:r>
      <w:r>
        <w:rPr>
          <w:rFonts w:hint="default" w:ascii="Times New Roman" w:hAnsi="Times New Roman" w:eastAsia="仿宋" w:cs="Times New Roman"/>
          <w:i w:val="0"/>
          <w:iCs w:val="0"/>
          <w:sz w:val="24"/>
          <w:szCs w:val="24"/>
          <w:lang w:val="en-US" w:eastAsia="zh-CN"/>
        </w:rPr>
        <w:t>图</w:t>
      </w:r>
      <w:r>
        <w:rPr>
          <w:rFonts w:hint="default" w:ascii="Times New Roman" w:hAnsi="Times New Roman" w:eastAsia="仿宋" w:cs="Times New Roman"/>
          <w:i w:val="0"/>
          <w:iCs w:val="0"/>
          <w:sz w:val="24"/>
          <w:szCs w:val="24"/>
        </w:rPr>
        <w:t>2：内蒙古自治区主体功能区划图</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_Toc19844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126</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0D97DA68">
      <w:pPr>
        <w:pStyle w:val="18"/>
        <w:tabs>
          <w:tab w:val="right" w:leader="dot" w:pos="8311"/>
        </w:tabs>
        <w:spacing w:line="360" w:lineRule="auto"/>
        <w:rPr>
          <w:rFonts w:hint="default" w:ascii="Times New Roman" w:hAnsi="Times New Roman" w:eastAsia="仿宋" w:cs="Times New Roman"/>
          <w:i w:val="0"/>
          <w:iCs w:val="0"/>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_Toc7421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w:t>
      </w:r>
      <w:r>
        <w:rPr>
          <w:rFonts w:hint="default" w:ascii="Times New Roman" w:hAnsi="Times New Roman" w:eastAsia="仿宋" w:cs="Times New Roman"/>
          <w:i w:val="0"/>
          <w:iCs w:val="0"/>
          <w:sz w:val="24"/>
          <w:szCs w:val="24"/>
          <w:lang w:val="en-US" w:eastAsia="zh-CN"/>
        </w:rPr>
        <w:t>图</w:t>
      </w:r>
      <w:r>
        <w:rPr>
          <w:rFonts w:hint="default" w:ascii="Times New Roman" w:hAnsi="Times New Roman" w:eastAsia="仿宋" w:cs="Times New Roman"/>
          <w:i w:val="0"/>
          <w:iCs w:val="0"/>
          <w:sz w:val="24"/>
          <w:szCs w:val="24"/>
        </w:rPr>
        <w:t>3：呼伦贝尔市管控单元图</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_Toc7421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127</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2553CF91">
      <w:pPr>
        <w:pStyle w:val="18"/>
        <w:tabs>
          <w:tab w:val="right" w:leader="dot" w:pos="8311"/>
        </w:tabs>
        <w:spacing w:line="360" w:lineRule="auto"/>
        <w:rPr>
          <w:rFonts w:hint="default" w:ascii="Times New Roman" w:hAnsi="Times New Roman" w:eastAsia="仿宋" w:cs="Times New Roman"/>
          <w:i w:val="0"/>
          <w:iCs w:val="0"/>
          <w:color w:val="auto"/>
          <w:sz w:val="24"/>
          <w:szCs w:val="24"/>
        </w:rPr>
      </w:pPr>
      <w:r>
        <w:rPr>
          <w:rFonts w:hint="default" w:ascii="Times New Roman" w:hAnsi="Times New Roman" w:eastAsia="仿宋" w:cs="Times New Roman"/>
          <w:i w:val="0"/>
          <w:iCs w:val="0"/>
          <w:color w:val="auto"/>
          <w:sz w:val="24"/>
          <w:szCs w:val="24"/>
        </w:rPr>
        <w:fldChar w:fldCharType="begin"/>
      </w:r>
      <w:r>
        <w:rPr>
          <w:rFonts w:hint="default" w:ascii="Times New Roman" w:hAnsi="Times New Roman" w:eastAsia="仿宋" w:cs="Times New Roman"/>
          <w:i w:val="0"/>
          <w:iCs w:val="0"/>
          <w:sz w:val="24"/>
          <w:szCs w:val="24"/>
        </w:rPr>
        <w:instrText xml:space="preserve"> HYPERLINK \l _Toc16980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附</w:t>
      </w:r>
      <w:r>
        <w:rPr>
          <w:rFonts w:hint="default" w:ascii="Times New Roman" w:hAnsi="Times New Roman" w:eastAsia="仿宋" w:cs="Times New Roman"/>
          <w:i w:val="0"/>
          <w:iCs w:val="0"/>
          <w:sz w:val="24"/>
          <w:szCs w:val="24"/>
          <w:lang w:val="en-US" w:eastAsia="zh-CN"/>
        </w:rPr>
        <w:t>图</w:t>
      </w:r>
      <w:r>
        <w:rPr>
          <w:rFonts w:hint="default" w:ascii="Times New Roman" w:hAnsi="Times New Roman" w:eastAsia="仿宋" w:cs="Times New Roman"/>
          <w:i w:val="0"/>
          <w:iCs w:val="0"/>
          <w:sz w:val="24"/>
          <w:szCs w:val="24"/>
        </w:rPr>
        <w:t>4：呼伦贝尔市水系图</w:t>
      </w:r>
      <w:r>
        <w:rPr>
          <w:rFonts w:hint="default" w:ascii="Times New Roman" w:hAnsi="Times New Roman" w:eastAsia="仿宋" w:cs="Times New Roman"/>
          <w:i w:val="0"/>
          <w:iCs w:val="0"/>
          <w:sz w:val="24"/>
          <w:szCs w:val="24"/>
        </w:rPr>
        <w:tab/>
      </w:r>
      <w:r>
        <w:rPr>
          <w:rFonts w:hint="default" w:ascii="Times New Roman" w:hAnsi="Times New Roman" w:eastAsia="仿宋" w:cs="Times New Roman"/>
          <w:i w:val="0"/>
          <w:iCs w:val="0"/>
          <w:sz w:val="24"/>
          <w:szCs w:val="24"/>
        </w:rPr>
        <w:fldChar w:fldCharType="begin"/>
      </w:r>
      <w:r>
        <w:rPr>
          <w:rFonts w:hint="default" w:ascii="Times New Roman" w:hAnsi="Times New Roman" w:eastAsia="仿宋" w:cs="Times New Roman"/>
          <w:i w:val="0"/>
          <w:iCs w:val="0"/>
          <w:sz w:val="24"/>
          <w:szCs w:val="24"/>
        </w:rPr>
        <w:instrText xml:space="preserve"> PAGEREF _Toc16980 \h </w:instrText>
      </w:r>
      <w:r>
        <w:rPr>
          <w:rFonts w:hint="default" w:ascii="Times New Roman" w:hAnsi="Times New Roman" w:eastAsia="仿宋" w:cs="Times New Roman"/>
          <w:i w:val="0"/>
          <w:iCs w:val="0"/>
          <w:sz w:val="24"/>
          <w:szCs w:val="24"/>
        </w:rPr>
        <w:fldChar w:fldCharType="separate"/>
      </w:r>
      <w:r>
        <w:rPr>
          <w:rFonts w:hint="default" w:ascii="Times New Roman" w:hAnsi="Times New Roman" w:eastAsia="仿宋" w:cs="Times New Roman"/>
          <w:i w:val="0"/>
          <w:iCs w:val="0"/>
          <w:sz w:val="24"/>
          <w:szCs w:val="24"/>
        </w:rPr>
        <w:t>128</w:t>
      </w:r>
      <w:r>
        <w:rPr>
          <w:rFonts w:hint="default" w:ascii="Times New Roman" w:hAnsi="Times New Roman" w:eastAsia="仿宋" w:cs="Times New Roman"/>
          <w:i w:val="0"/>
          <w:iCs w:val="0"/>
          <w:sz w:val="24"/>
          <w:szCs w:val="24"/>
        </w:rPr>
        <w:fldChar w:fldCharType="end"/>
      </w:r>
      <w:r>
        <w:rPr>
          <w:rFonts w:hint="default" w:ascii="Times New Roman" w:hAnsi="Times New Roman" w:eastAsia="仿宋" w:cs="Times New Roman"/>
          <w:i w:val="0"/>
          <w:iCs w:val="0"/>
          <w:color w:val="auto"/>
          <w:sz w:val="24"/>
          <w:szCs w:val="24"/>
        </w:rPr>
        <w:fldChar w:fldCharType="end"/>
      </w:r>
    </w:p>
    <w:p w14:paraId="52626A0C">
      <w:pPr>
        <w:pStyle w:val="4"/>
        <w:bidi w:val="0"/>
        <w:rPr>
          <w:color w:val="auto"/>
        </w:rPr>
      </w:pPr>
      <w:r>
        <w:rPr>
          <w:rFonts w:hint="default" w:ascii="Times New Roman" w:hAnsi="Times New Roman" w:eastAsia="仿宋" w:cs="Times New Roman"/>
          <w:i w:val="0"/>
          <w:iCs w:val="0"/>
          <w:color w:val="auto"/>
          <w:sz w:val="24"/>
          <w:szCs w:val="24"/>
        </w:rPr>
        <w:fldChar w:fldCharType="end"/>
      </w:r>
      <w:bookmarkStart w:id="1" w:name="_Toc398733569"/>
      <w:bookmarkStart w:id="2" w:name="_Toc12688"/>
      <w:bookmarkStart w:id="3" w:name="_Toc89548159"/>
      <w:bookmarkStart w:id="4" w:name="_Toc89469658"/>
      <w:bookmarkStart w:id="5" w:name="_Toc499140530"/>
      <w:r>
        <w:rPr>
          <w:color w:val="auto"/>
        </w:rPr>
        <w:t>总则</w:t>
      </w:r>
      <w:bookmarkEnd w:id="1"/>
      <w:bookmarkEnd w:id="2"/>
      <w:bookmarkEnd w:id="3"/>
      <w:bookmarkEnd w:id="4"/>
      <w:bookmarkEnd w:id="5"/>
    </w:p>
    <w:p w14:paraId="14B53C02">
      <w:pPr>
        <w:pStyle w:val="5"/>
        <w:bidi w:val="0"/>
        <w:rPr>
          <w:color w:val="auto"/>
        </w:rPr>
      </w:pPr>
      <w:bookmarkStart w:id="6" w:name="_Toc89469659"/>
      <w:bookmarkStart w:id="7" w:name="_Toc89548160"/>
      <w:bookmarkStart w:id="8" w:name="_Toc398733570"/>
      <w:bookmarkStart w:id="9" w:name="_Toc23644"/>
      <w:bookmarkStart w:id="10" w:name="_Toc983762528"/>
      <w:r>
        <w:rPr>
          <w:color w:val="auto"/>
        </w:rPr>
        <w:t>编制目的</w:t>
      </w:r>
      <w:bookmarkEnd w:id="6"/>
      <w:bookmarkEnd w:id="7"/>
      <w:bookmarkEnd w:id="8"/>
      <w:bookmarkEnd w:id="9"/>
      <w:bookmarkEnd w:id="10"/>
    </w:p>
    <w:p w14:paraId="0D2437D9">
      <w:pPr>
        <w:pStyle w:val="7"/>
        <w:bidi w:val="0"/>
        <w:rPr>
          <w:color w:val="auto"/>
        </w:rPr>
      </w:pPr>
      <w:r>
        <w:rPr>
          <w:color w:val="auto"/>
        </w:rPr>
        <w:t>为建立健全突发环境事件应急机制，提高</w:t>
      </w:r>
      <w:r>
        <w:rPr>
          <w:rFonts w:hint="eastAsia"/>
          <w:color w:val="auto"/>
        </w:rPr>
        <w:t>额尔古纳市</w:t>
      </w:r>
      <w:r>
        <w:rPr>
          <w:color w:val="auto"/>
        </w:rPr>
        <w:t>人民政府应对突发环境事件的能力，规范处置程序、明确相关职责，对实际发生的环境风险事故和紧急情况作出响应，有效预防、及时控制和妥善处置各类突发环境事件，将污染损失降低到最低程度，保障公众生命健康和财产安全，保护环境，维护社会稳定，促进经济社会全面、协调、可持续发展，特制定本预案。</w:t>
      </w:r>
    </w:p>
    <w:p w14:paraId="6527D35C">
      <w:pPr>
        <w:pStyle w:val="5"/>
        <w:bidi w:val="0"/>
        <w:rPr>
          <w:color w:val="auto"/>
        </w:rPr>
      </w:pPr>
      <w:bookmarkStart w:id="11" w:name="_Toc6174"/>
      <w:bookmarkStart w:id="12" w:name="_Toc620209843"/>
      <w:bookmarkStart w:id="13" w:name="_Toc89548161"/>
      <w:bookmarkStart w:id="14" w:name="_Toc398733571"/>
      <w:bookmarkStart w:id="15" w:name="_Toc89469660"/>
      <w:r>
        <w:rPr>
          <w:color w:val="auto"/>
        </w:rPr>
        <w:t>编制依据</w:t>
      </w:r>
      <w:bookmarkEnd w:id="11"/>
      <w:bookmarkEnd w:id="12"/>
      <w:bookmarkEnd w:id="13"/>
      <w:bookmarkEnd w:id="14"/>
      <w:bookmarkEnd w:id="15"/>
    </w:p>
    <w:p w14:paraId="0B123FB0">
      <w:pPr>
        <w:pStyle w:val="6"/>
        <w:bidi w:val="0"/>
        <w:rPr>
          <w:color w:val="auto"/>
        </w:rPr>
      </w:pPr>
      <w:bookmarkStart w:id="16" w:name="_Toc89313459"/>
      <w:bookmarkStart w:id="17" w:name="_Toc27579274"/>
      <w:bookmarkStart w:id="18" w:name="_Toc89469661"/>
      <w:bookmarkStart w:id="19" w:name="_Toc21850"/>
      <w:bookmarkStart w:id="20" w:name="_Toc2128692410"/>
      <w:bookmarkStart w:id="21" w:name="_Toc89548162"/>
      <w:bookmarkStart w:id="22" w:name="_Toc398733572"/>
      <w:r>
        <w:rPr>
          <w:color w:val="auto"/>
        </w:rPr>
        <w:t>法律依据</w:t>
      </w:r>
      <w:bookmarkEnd w:id="16"/>
      <w:bookmarkEnd w:id="17"/>
      <w:bookmarkEnd w:id="18"/>
      <w:bookmarkEnd w:id="19"/>
      <w:bookmarkEnd w:id="20"/>
      <w:bookmarkEnd w:id="21"/>
    </w:p>
    <w:p w14:paraId="2D07E211">
      <w:pPr>
        <w:pStyle w:val="7"/>
        <w:bidi w:val="0"/>
        <w:rPr>
          <w:color w:val="auto"/>
        </w:rPr>
      </w:pPr>
      <w:r>
        <w:rPr>
          <w:color w:val="auto"/>
        </w:rPr>
        <w:t>（1）《中华人民共和国突发事件应对法》（主席令第69号），2007年8月30日；</w:t>
      </w:r>
    </w:p>
    <w:p w14:paraId="03DA5056">
      <w:pPr>
        <w:pStyle w:val="7"/>
        <w:bidi w:val="0"/>
        <w:rPr>
          <w:color w:val="auto"/>
        </w:rPr>
      </w:pPr>
      <w:r>
        <w:rPr>
          <w:color w:val="auto"/>
        </w:rPr>
        <w:t>（2）《中华人民共和国环境保护法》（主席令第9号），2014年4月</w:t>
      </w:r>
      <w:r>
        <w:rPr>
          <w:rFonts w:hint="eastAsia"/>
          <w:color w:val="auto"/>
        </w:rPr>
        <w:t>2</w:t>
      </w:r>
      <w:r>
        <w:rPr>
          <w:color w:val="auto"/>
        </w:rPr>
        <w:t>4日；</w:t>
      </w:r>
    </w:p>
    <w:p w14:paraId="375B617A">
      <w:pPr>
        <w:pStyle w:val="7"/>
        <w:bidi w:val="0"/>
        <w:rPr>
          <w:color w:val="auto"/>
        </w:rPr>
      </w:pPr>
      <w:r>
        <w:rPr>
          <w:color w:val="auto"/>
        </w:rPr>
        <w:t>（</w:t>
      </w:r>
      <w:r>
        <w:rPr>
          <w:rFonts w:hint="eastAsia"/>
          <w:color w:val="auto"/>
        </w:rPr>
        <w:t>3</w:t>
      </w:r>
      <w:r>
        <w:rPr>
          <w:color w:val="auto"/>
        </w:rPr>
        <w:t>）《中华人民共和国水污染防治法》（主席令第87号），2017年6月</w:t>
      </w:r>
      <w:r>
        <w:rPr>
          <w:rFonts w:hint="eastAsia"/>
          <w:color w:val="auto"/>
        </w:rPr>
        <w:t>2</w:t>
      </w:r>
      <w:r>
        <w:rPr>
          <w:color w:val="auto"/>
        </w:rPr>
        <w:t>7日；</w:t>
      </w:r>
    </w:p>
    <w:p w14:paraId="18C266BD">
      <w:pPr>
        <w:pStyle w:val="7"/>
        <w:bidi w:val="0"/>
        <w:rPr>
          <w:color w:val="auto"/>
        </w:rPr>
      </w:pPr>
      <w:r>
        <w:rPr>
          <w:color w:val="auto"/>
        </w:rPr>
        <w:t>（</w:t>
      </w:r>
      <w:r>
        <w:rPr>
          <w:rFonts w:hint="eastAsia"/>
          <w:color w:val="auto"/>
        </w:rPr>
        <w:t>4</w:t>
      </w:r>
      <w:r>
        <w:rPr>
          <w:color w:val="auto"/>
        </w:rPr>
        <w:t>）《中华人民共和国固体废物污染环境防治法》（主席令第43号），2020年9月1</w:t>
      </w:r>
      <w:r>
        <w:rPr>
          <w:rFonts w:hint="eastAsia"/>
          <w:color w:val="auto"/>
        </w:rPr>
        <w:t>日</w:t>
      </w:r>
      <w:r>
        <w:rPr>
          <w:color w:val="auto"/>
        </w:rPr>
        <w:t>；</w:t>
      </w:r>
    </w:p>
    <w:p w14:paraId="54DE1C29">
      <w:pPr>
        <w:pStyle w:val="7"/>
        <w:bidi w:val="0"/>
        <w:rPr>
          <w:color w:val="auto"/>
        </w:rPr>
      </w:pPr>
      <w:r>
        <w:rPr>
          <w:color w:val="auto"/>
        </w:rPr>
        <w:t>（</w:t>
      </w:r>
      <w:r>
        <w:rPr>
          <w:rFonts w:hint="eastAsia"/>
          <w:color w:val="auto"/>
        </w:rPr>
        <w:t>5</w:t>
      </w:r>
      <w:r>
        <w:rPr>
          <w:color w:val="auto"/>
        </w:rPr>
        <w:t>）《中华人民共和国大气污染防治法》（主席令第31号），2018年10月</w:t>
      </w:r>
      <w:r>
        <w:rPr>
          <w:rFonts w:hint="eastAsia"/>
          <w:color w:val="auto"/>
        </w:rPr>
        <w:t>2</w:t>
      </w:r>
      <w:r>
        <w:rPr>
          <w:color w:val="auto"/>
        </w:rPr>
        <w:t>6日；</w:t>
      </w:r>
    </w:p>
    <w:p w14:paraId="79A60ADC">
      <w:pPr>
        <w:pStyle w:val="7"/>
        <w:bidi w:val="0"/>
        <w:rPr>
          <w:color w:val="auto"/>
        </w:rPr>
      </w:pPr>
      <w:r>
        <w:rPr>
          <w:color w:val="auto"/>
        </w:rPr>
        <w:t>（</w:t>
      </w:r>
      <w:r>
        <w:rPr>
          <w:rFonts w:hint="eastAsia"/>
          <w:color w:val="auto"/>
        </w:rPr>
        <w:t>6</w:t>
      </w:r>
      <w:r>
        <w:rPr>
          <w:color w:val="auto"/>
        </w:rPr>
        <w:t>）《中华人民共和国土壤污染防治法》（主席令第8号），2018年8月31日。</w:t>
      </w:r>
    </w:p>
    <w:p w14:paraId="7DD6CB33">
      <w:pPr>
        <w:pStyle w:val="6"/>
        <w:bidi w:val="0"/>
        <w:rPr>
          <w:color w:val="auto"/>
        </w:rPr>
      </w:pPr>
      <w:bookmarkStart w:id="23" w:name="_Toc89548163"/>
      <w:bookmarkStart w:id="24" w:name="_Toc89469662"/>
      <w:bookmarkStart w:id="25" w:name="_Toc2003259497"/>
      <w:bookmarkStart w:id="26" w:name="_Toc7503"/>
      <w:bookmarkStart w:id="27" w:name="_Toc27579275"/>
      <w:bookmarkStart w:id="28" w:name="_Toc89313460"/>
      <w:r>
        <w:rPr>
          <w:color w:val="auto"/>
        </w:rPr>
        <w:t>法规依据</w:t>
      </w:r>
      <w:bookmarkEnd w:id="23"/>
      <w:bookmarkEnd w:id="24"/>
      <w:bookmarkEnd w:id="25"/>
      <w:bookmarkEnd w:id="26"/>
      <w:bookmarkEnd w:id="27"/>
      <w:bookmarkEnd w:id="28"/>
    </w:p>
    <w:p w14:paraId="7289DF8C">
      <w:pPr>
        <w:pStyle w:val="7"/>
        <w:bidi w:val="0"/>
        <w:rPr>
          <w:color w:val="auto"/>
        </w:rPr>
      </w:pPr>
      <w:r>
        <w:rPr>
          <w:color w:val="auto"/>
        </w:rPr>
        <w:t>（</w:t>
      </w:r>
      <w:r>
        <w:rPr>
          <w:rFonts w:hint="eastAsia"/>
          <w:color w:val="auto"/>
          <w:lang w:val="en-US" w:eastAsia="zh-CN"/>
        </w:rPr>
        <w:t>1</w:t>
      </w:r>
      <w:r>
        <w:rPr>
          <w:color w:val="auto"/>
        </w:rPr>
        <w:t>）《企业事业单位突发环境事件应急预案备案管理办法（试行）》（环发[2015]4号），2015年</w:t>
      </w:r>
      <w:r>
        <w:rPr>
          <w:rFonts w:hint="eastAsia"/>
          <w:color w:val="auto"/>
        </w:rPr>
        <w:t>1</w:t>
      </w:r>
      <w:r>
        <w:rPr>
          <w:color w:val="auto"/>
        </w:rPr>
        <w:t>月8日；</w:t>
      </w:r>
    </w:p>
    <w:p w14:paraId="7627DD11">
      <w:pPr>
        <w:pStyle w:val="7"/>
        <w:bidi w:val="0"/>
        <w:rPr>
          <w:color w:val="auto"/>
        </w:rPr>
      </w:pPr>
      <w:r>
        <w:rPr>
          <w:color w:val="auto"/>
        </w:rPr>
        <w:t>（</w:t>
      </w:r>
      <w:r>
        <w:rPr>
          <w:rFonts w:hint="eastAsia"/>
          <w:color w:val="auto"/>
          <w:lang w:val="en-US" w:eastAsia="zh-CN"/>
        </w:rPr>
        <w:t>2</w:t>
      </w:r>
      <w:r>
        <w:rPr>
          <w:color w:val="auto"/>
        </w:rPr>
        <w:t>）《危险化学品安全管理条例》（国务院令第645号），</w:t>
      </w:r>
      <w:r>
        <w:rPr>
          <w:rFonts w:hint="eastAsia"/>
          <w:color w:val="auto"/>
        </w:rPr>
        <w:t>2013年12月7日</w:t>
      </w:r>
      <w:r>
        <w:rPr>
          <w:color w:val="auto"/>
        </w:rPr>
        <w:t>；</w:t>
      </w:r>
    </w:p>
    <w:p w14:paraId="00B22E24">
      <w:pPr>
        <w:pStyle w:val="7"/>
        <w:bidi w:val="0"/>
        <w:rPr>
          <w:color w:val="auto"/>
        </w:rPr>
      </w:pPr>
      <w:r>
        <w:rPr>
          <w:color w:val="auto"/>
        </w:rPr>
        <w:t>（</w:t>
      </w:r>
      <w:r>
        <w:rPr>
          <w:rFonts w:hint="eastAsia"/>
          <w:color w:val="auto"/>
          <w:lang w:val="en-US" w:eastAsia="zh-CN"/>
        </w:rPr>
        <w:t>3</w:t>
      </w:r>
      <w:r>
        <w:rPr>
          <w:color w:val="auto"/>
        </w:rPr>
        <w:t>）《危险化学品重大危险源监督管理暂行规定》（国家安全生产监督管理总局令第</w:t>
      </w:r>
      <w:r>
        <w:rPr>
          <w:rFonts w:hint="eastAsia"/>
          <w:color w:val="auto"/>
        </w:rPr>
        <w:t>7</w:t>
      </w:r>
      <w:r>
        <w:rPr>
          <w:color w:val="auto"/>
        </w:rPr>
        <w:t>9号），2015年7月1日；</w:t>
      </w:r>
    </w:p>
    <w:p w14:paraId="11109DA9">
      <w:pPr>
        <w:pStyle w:val="7"/>
        <w:bidi w:val="0"/>
        <w:rPr>
          <w:color w:val="auto"/>
        </w:rPr>
      </w:pPr>
      <w:r>
        <w:rPr>
          <w:color w:val="auto"/>
        </w:rPr>
        <w:t>（</w:t>
      </w:r>
      <w:r>
        <w:rPr>
          <w:rFonts w:hint="eastAsia"/>
          <w:color w:val="auto"/>
          <w:lang w:val="en-US" w:eastAsia="zh-CN"/>
        </w:rPr>
        <w:t>4</w:t>
      </w:r>
      <w:r>
        <w:rPr>
          <w:color w:val="auto"/>
        </w:rPr>
        <w:t>）《危险化学品登记管理办法》（国家安全生产监督管理局），2012年8月1日；</w:t>
      </w:r>
    </w:p>
    <w:p w14:paraId="5D568FF5">
      <w:pPr>
        <w:pStyle w:val="7"/>
        <w:bidi w:val="0"/>
        <w:rPr>
          <w:color w:val="auto"/>
        </w:rPr>
      </w:pPr>
      <w:r>
        <w:rPr>
          <w:color w:val="auto"/>
        </w:rPr>
        <w:t>（</w:t>
      </w:r>
      <w:r>
        <w:rPr>
          <w:rFonts w:hint="eastAsia"/>
          <w:color w:val="auto"/>
          <w:lang w:val="en-US" w:eastAsia="zh-CN"/>
        </w:rPr>
        <w:t>5</w:t>
      </w:r>
      <w:r>
        <w:rPr>
          <w:color w:val="auto"/>
        </w:rPr>
        <w:t>）《环保部突发环境事件应急预案管理暂行办法》（环发[2010]113号），2010</w:t>
      </w:r>
      <w:r>
        <w:rPr>
          <w:rFonts w:hint="eastAsia"/>
          <w:color w:val="auto"/>
        </w:rPr>
        <w:t>年</w:t>
      </w:r>
      <w:r>
        <w:rPr>
          <w:color w:val="auto"/>
        </w:rPr>
        <w:t>9</w:t>
      </w:r>
      <w:r>
        <w:rPr>
          <w:rFonts w:hint="eastAsia"/>
          <w:color w:val="auto"/>
        </w:rPr>
        <w:t>月</w:t>
      </w:r>
      <w:r>
        <w:rPr>
          <w:color w:val="auto"/>
        </w:rPr>
        <w:t>28</w:t>
      </w:r>
      <w:r>
        <w:rPr>
          <w:rFonts w:hint="eastAsia"/>
          <w:color w:val="auto"/>
        </w:rPr>
        <w:t>日</w:t>
      </w:r>
      <w:r>
        <w:rPr>
          <w:color w:val="auto"/>
        </w:rPr>
        <w:t>；</w:t>
      </w:r>
    </w:p>
    <w:p w14:paraId="526E1021">
      <w:pPr>
        <w:pStyle w:val="7"/>
        <w:bidi w:val="0"/>
        <w:rPr>
          <w:color w:val="auto"/>
        </w:rPr>
      </w:pPr>
      <w:r>
        <w:rPr>
          <w:color w:val="auto"/>
        </w:rPr>
        <w:t>（</w:t>
      </w:r>
      <w:r>
        <w:rPr>
          <w:rFonts w:hint="eastAsia"/>
          <w:color w:val="auto"/>
          <w:lang w:val="en-US" w:eastAsia="zh-CN"/>
        </w:rPr>
        <w:t>6</w:t>
      </w:r>
      <w:r>
        <w:rPr>
          <w:color w:val="auto"/>
        </w:rPr>
        <w:t>）《国家危险废物名录（202</w:t>
      </w:r>
      <w:r>
        <w:rPr>
          <w:rFonts w:hint="eastAsia"/>
          <w:color w:val="auto"/>
          <w:lang w:val="en-US" w:eastAsia="zh-CN"/>
        </w:rPr>
        <w:t>5</w:t>
      </w:r>
      <w:r>
        <w:rPr>
          <w:rFonts w:hint="eastAsia"/>
          <w:color w:val="auto"/>
        </w:rPr>
        <w:t>年</w:t>
      </w:r>
      <w:r>
        <w:rPr>
          <w:color w:val="auto"/>
        </w:rPr>
        <w:t>版）》</w:t>
      </w:r>
      <w:r>
        <w:rPr>
          <w:rFonts w:hint="eastAsia"/>
          <w:color w:val="auto"/>
        </w:rPr>
        <w:t>，</w:t>
      </w:r>
      <w:r>
        <w:rPr>
          <w:color w:val="auto"/>
        </w:rPr>
        <w:t>202</w:t>
      </w:r>
      <w:r>
        <w:rPr>
          <w:rFonts w:hint="eastAsia"/>
          <w:color w:val="auto"/>
          <w:lang w:val="en-US" w:eastAsia="zh-CN"/>
        </w:rPr>
        <w:t>5</w:t>
      </w:r>
      <w:r>
        <w:rPr>
          <w:rFonts w:hint="eastAsia"/>
          <w:color w:val="auto"/>
        </w:rPr>
        <w:t>年</w:t>
      </w:r>
      <w:r>
        <w:rPr>
          <w:color w:val="auto"/>
        </w:rPr>
        <w:t>1</w:t>
      </w:r>
      <w:r>
        <w:rPr>
          <w:rFonts w:hint="eastAsia"/>
          <w:color w:val="auto"/>
        </w:rPr>
        <w:t>月1日</w:t>
      </w:r>
      <w:r>
        <w:rPr>
          <w:color w:val="auto"/>
        </w:rPr>
        <w:t>。</w:t>
      </w:r>
    </w:p>
    <w:p w14:paraId="53DB0D65">
      <w:pPr>
        <w:pStyle w:val="6"/>
        <w:bidi w:val="0"/>
        <w:rPr>
          <w:color w:val="auto"/>
        </w:rPr>
      </w:pPr>
      <w:bookmarkStart w:id="29" w:name="_Toc27579276"/>
      <w:bookmarkStart w:id="30" w:name="_Toc533748413"/>
      <w:bookmarkStart w:id="31" w:name="_Toc89313461"/>
      <w:bookmarkStart w:id="32" w:name="_Toc89548164"/>
      <w:bookmarkStart w:id="33" w:name="_Toc89469663"/>
      <w:bookmarkStart w:id="34" w:name="_Toc4838"/>
      <w:r>
        <w:rPr>
          <w:color w:val="auto"/>
        </w:rPr>
        <w:t>标准与技术规范</w:t>
      </w:r>
      <w:bookmarkEnd w:id="29"/>
      <w:bookmarkEnd w:id="30"/>
      <w:bookmarkEnd w:id="31"/>
      <w:bookmarkEnd w:id="32"/>
      <w:bookmarkEnd w:id="33"/>
      <w:bookmarkEnd w:id="34"/>
    </w:p>
    <w:p w14:paraId="4ED32DC9">
      <w:pPr>
        <w:pStyle w:val="7"/>
        <w:bidi w:val="0"/>
        <w:rPr>
          <w:color w:val="auto"/>
        </w:rPr>
      </w:pPr>
      <w:r>
        <w:rPr>
          <w:color w:val="auto"/>
        </w:rPr>
        <w:t>（1）《国家突发公共事件总体应急预案》，</w:t>
      </w:r>
      <w:r>
        <w:rPr>
          <w:rFonts w:hint="eastAsia"/>
          <w:color w:val="auto"/>
          <w:lang w:val="en-US" w:eastAsia="zh-CN"/>
        </w:rPr>
        <w:t>2025</w:t>
      </w:r>
      <w:r>
        <w:rPr>
          <w:rFonts w:hint="eastAsia"/>
          <w:color w:val="auto"/>
        </w:rPr>
        <w:t>年</w:t>
      </w:r>
      <w:r>
        <w:rPr>
          <w:rFonts w:hint="eastAsia"/>
          <w:color w:val="auto"/>
          <w:lang w:val="en-US" w:eastAsia="zh-CN"/>
        </w:rPr>
        <w:t>2</w:t>
      </w:r>
      <w:r>
        <w:rPr>
          <w:rFonts w:hint="eastAsia"/>
          <w:color w:val="auto"/>
        </w:rPr>
        <w:t>月</w:t>
      </w:r>
      <w:r>
        <w:rPr>
          <w:rFonts w:hint="eastAsia"/>
          <w:color w:val="auto"/>
          <w:lang w:val="en-US" w:eastAsia="zh-CN"/>
        </w:rPr>
        <w:t>25</w:t>
      </w:r>
      <w:r>
        <w:rPr>
          <w:rFonts w:hint="eastAsia"/>
          <w:color w:val="auto"/>
        </w:rPr>
        <w:t>日</w:t>
      </w:r>
      <w:r>
        <w:rPr>
          <w:color w:val="auto"/>
        </w:rPr>
        <w:t>；</w:t>
      </w:r>
    </w:p>
    <w:p w14:paraId="0476DE36">
      <w:pPr>
        <w:pStyle w:val="7"/>
        <w:bidi w:val="0"/>
        <w:rPr>
          <w:color w:val="auto"/>
        </w:rPr>
      </w:pPr>
      <w:r>
        <w:rPr>
          <w:color w:val="auto"/>
        </w:rPr>
        <w:t>（2）《国家突发环境事件应急预案》</w:t>
      </w:r>
      <w:r>
        <w:rPr>
          <w:rFonts w:hint="eastAsia"/>
          <w:color w:val="auto"/>
          <w:lang w:eastAsia="zh-CN"/>
        </w:rPr>
        <w:t>（</w:t>
      </w:r>
      <w:r>
        <w:rPr>
          <w:rFonts w:hint="eastAsia"/>
          <w:color w:val="auto"/>
          <w:lang w:val="en-US" w:eastAsia="zh-CN"/>
        </w:rPr>
        <w:t>国办函[2014]119号</w:t>
      </w:r>
      <w:r>
        <w:rPr>
          <w:rFonts w:hint="eastAsia"/>
          <w:color w:val="auto"/>
          <w:lang w:eastAsia="zh-CN"/>
        </w:rPr>
        <w:t>）</w:t>
      </w:r>
      <w:r>
        <w:rPr>
          <w:color w:val="auto"/>
        </w:rPr>
        <w:t>；</w:t>
      </w:r>
    </w:p>
    <w:p w14:paraId="5CB817BB">
      <w:pPr>
        <w:pStyle w:val="7"/>
        <w:bidi w:val="0"/>
        <w:rPr>
          <w:color w:val="auto"/>
        </w:rPr>
      </w:pPr>
      <w:r>
        <w:rPr>
          <w:color w:val="auto"/>
        </w:rPr>
        <w:t>（3）《企业突发环境事件隐患排查和治理工作指南》，2016年12月12日；</w:t>
      </w:r>
    </w:p>
    <w:p w14:paraId="4F5EFF0F">
      <w:pPr>
        <w:pStyle w:val="7"/>
        <w:bidi w:val="0"/>
        <w:rPr>
          <w:color w:val="auto"/>
        </w:rPr>
      </w:pPr>
      <w:r>
        <w:rPr>
          <w:color w:val="auto"/>
        </w:rPr>
        <w:t>（4）《企业突发环境事件风险分级方法》（HJ941-2018），2018年3月1日；</w:t>
      </w:r>
    </w:p>
    <w:p w14:paraId="019F8092">
      <w:pPr>
        <w:pStyle w:val="7"/>
        <w:bidi w:val="0"/>
        <w:rPr>
          <w:color w:val="auto"/>
        </w:rPr>
      </w:pPr>
      <w:r>
        <w:rPr>
          <w:color w:val="auto"/>
        </w:rPr>
        <w:t>（5）《突发环境事件应急监测技术规范》（HJ589-2010），2011年1月1日；</w:t>
      </w:r>
    </w:p>
    <w:p w14:paraId="6713F257">
      <w:pPr>
        <w:pStyle w:val="7"/>
        <w:bidi w:val="0"/>
        <w:rPr>
          <w:color w:val="auto"/>
        </w:rPr>
      </w:pPr>
      <w:r>
        <w:rPr>
          <w:color w:val="auto"/>
        </w:rPr>
        <w:t>（6）《行政区域突发环境事件风险评估推荐方法》（环办应急[2018]9号），2018年1月；</w:t>
      </w:r>
    </w:p>
    <w:p w14:paraId="4A08ADF0">
      <w:pPr>
        <w:pStyle w:val="7"/>
        <w:bidi w:val="0"/>
        <w:rPr>
          <w:color w:val="auto"/>
        </w:rPr>
      </w:pPr>
      <w:r>
        <w:rPr>
          <w:color w:val="auto"/>
        </w:rPr>
        <w:t>（7）《环境应急资源调查指南（试行）》（环办应急〔2019〕17号），2019年3月；</w:t>
      </w:r>
    </w:p>
    <w:p w14:paraId="3E815028">
      <w:pPr>
        <w:pStyle w:val="7"/>
        <w:bidi w:val="0"/>
        <w:rPr>
          <w:color w:val="auto"/>
        </w:rPr>
      </w:pPr>
      <w:r>
        <w:rPr>
          <w:color w:val="auto"/>
        </w:rPr>
        <w:t>（8）《突发环境事件信息报告办法》（中华人民共和国环境保护令第17号），2011年4月；</w:t>
      </w:r>
    </w:p>
    <w:p w14:paraId="271A9563">
      <w:pPr>
        <w:pStyle w:val="7"/>
        <w:bidi w:val="0"/>
        <w:rPr>
          <w:color w:val="auto"/>
        </w:rPr>
      </w:pPr>
      <w:r>
        <w:rPr>
          <w:color w:val="auto"/>
        </w:rPr>
        <w:t>（9）《突发环境事件调查处理办法》（中华人民共和国环境保护令第32号），2014年12月；</w:t>
      </w:r>
    </w:p>
    <w:p w14:paraId="4C1B5A83">
      <w:pPr>
        <w:pStyle w:val="7"/>
        <w:bidi w:val="0"/>
        <w:rPr>
          <w:color w:val="auto"/>
        </w:rPr>
      </w:pPr>
      <w:r>
        <w:rPr>
          <w:color w:val="auto"/>
        </w:rPr>
        <w:t>（</w:t>
      </w:r>
      <w:r>
        <w:rPr>
          <w:rFonts w:hint="eastAsia"/>
          <w:color w:val="auto"/>
          <w:lang w:val="en-US" w:eastAsia="zh-CN"/>
        </w:rPr>
        <w:t>10</w:t>
      </w:r>
      <w:r>
        <w:rPr>
          <w:color w:val="auto"/>
        </w:rPr>
        <w:t>）《危险化学品重大危险源辨识》（GB18218-2018），</w:t>
      </w:r>
      <w:r>
        <w:rPr>
          <w:rFonts w:hint="eastAsia"/>
          <w:color w:val="auto"/>
        </w:rPr>
        <w:t>2</w:t>
      </w:r>
      <w:r>
        <w:rPr>
          <w:color w:val="auto"/>
        </w:rPr>
        <w:t>018</w:t>
      </w:r>
      <w:r>
        <w:rPr>
          <w:rFonts w:hint="eastAsia"/>
          <w:color w:val="auto"/>
        </w:rPr>
        <w:t>年1</w:t>
      </w:r>
      <w:r>
        <w:rPr>
          <w:color w:val="auto"/>
        </w:rPr>
        <w:t>1</w:t>
      </w:r>
      <w:r>
        <w:rPr>
          <w:rFonts w:hint="eastAsia"/>
          <w:color w:val="auto"/>
        </w:rPr>
        <w:t>月</w:t>
      </w:r>
      <w:r>
        <w:rPr>
          <w:color w:val="auto"/>
        </w:rPr>
        <w:t>19</w:t>
      </w:r>
      <w:r>
        <w:rPr>
          <w:rFonts w:hint="eastAsia"/>
          <w:color w:val="auto"/>
        </w:rPr>
        <w:t>日</w:t>
      </w:r>
      <w:r>
        <w:rPr>
          <w:color w:val="auto"/>
        </w:rPr>
        <w:t>；</w:t>
      </w:r>
    </w:p>
    <w:p w14:paraId="3D519D39">
      <w:pPr>
        <w:pStyle w:val="7"/>
        <w:bidi w:val="0"/>
        <w:rPr>
          <w:color w:val="auto"/>
        </w:rPr>
      </w:pPr>
      <w:r>
        <w:rPr>
          <w:color w:val="auto"/>
        </w:rPr>
        <w:t>（</w:t>
      </w:r>
      <w:r>
        <w:rPr>
          <w:rFonts w:hint="eastAsia"/>
          <w:color w:val="auto"/>
          <w:lang w:val="en-US" w:eastAsia="zh-CN"/>
        </w:rPr>
        <w:t>11</w:t>
      </w:r>
      <w:r>
        <w:rPr>
          <w:color w:val="auto"/>
        </w:rPr>
        <w:t>）《地表水环境质量标准》（GB3838-2002），</w:t>
      </w:r>
      <w:r>
        <w:rPr>
          <w:rFonts w:hint="eastAsia"/>
          <w:color w:val="auto"/>
        </w:rPr>
        <w:t>2</w:t>
      </w:r>
      <w:r>
        <w:rPr>
          <w:color w:val="auto"/>
        </w:rPr>
        <w:t>002</w:t>
      </w:r>
      <w:r>
        <w:rPr>
          <w:rFonts w:hint="eastAsia"/>
          <w:color w:val="auto"/>
        </w:rPr>
        <w:t>年</w:t>
      </w:r>
      <w:r>
        <w:rPr>
          <w:color w:val="auto"/>
        </w:rPr>
        <w:t>4</w:t>
      </w:r>
      <w:r>
        <w:rPr>
          <w:rFonts w:hint="eastAsia"/>
          <w:color w:val="auto"/>
        </w:rPr>
        <w:t>月</w:t>
      </w:r>
      <w:r>
        <w:rPr>
          <w:color w:val="auto"/>
        </w:rPr>
        <w:t>28</w:t>
      </w:r>
      <w:r>
        <w:rPr>
          <w:rFonts w:hint="eastAsia"/>
          <w:color w:val="auto"/>
        </w:rPr>
        <w:t>日</w:t>
      </w:r>
      <w:r>
        <w:rPr>
          <w:color w:val="auto"/>
        </w:rPr>
        <w:t>；</w:t>
      </w:r>
    </w:p>
    <w:p w14:paraId="3FD15303">
      <w:pPr>
        <w:pStyle w:val="7"/>
        <w:bidi w:val="0"/>
        <w:rPr>
          <w:color w:val="auto"/>
        </w:rPr>
      </w:pPr>
      <w:r>
        <w:rPr>
          <w:color w:val="auto"/>
        </w:rPr>
        <w:t>（</w:t>
      </w:r>
      <w:r>
        <w:rPr>
          <w:rFonts w:hint="eastAsia"/>
          <w:color w:val="auto"/>
          <w:lang w:val="en-US" w:eastAsia="zh-CN"/>
        </w:rPr>
        <w:t>12</w:t>
      </w:r>
      <w:r>
        <w:rPr>
          <w:color w:val="auto"/>
        </w:rPr>
        <w:t>）《地下水质量标准》（GB/T14848-2017），</w:t>
      </w:r>
      <w:r>
        <w:rPr>
          <w:rFonts w:hint="eastAsia"/>
          <w:color w:val="auto"/>
        </w:rPr>
        <w:t>2</w:t>
      </w:r>
      <w:r>
        <w:rPr>
          <w:color w:val="auto"/>
        </w:rPr>
        <w:t>017</w:t>
      </w:r>
      <w:r>
        <w:rPr>
          <w:rFonts w:hint="eastAsia"/>
          <w:color w:val="auto"/>
        </w:rPr>
        <w:t>年1</w:t>
      </w:r>
      <w:r>
        <w:rPr>
          <w:color w:val="auto"/>
        </w:rPr>
        <w:t>0</w:t>
      </w:r>
      <w:r>
        <w:rPr>
          <w:rFonts w:hint="eastAsia"/>
          <w:color w:val="auto"/>
        </w:rPr>
        <w:t>月</w:t>
      </w:r>
      <w:r>
        <w:rPr>
          <w:color w:val="auto"/>
        </w:rPr>
        <w:t>14</w:t>
      </w:r>
      <w:r>
        <w:rPr>
          <w:rFonts w:hint="eastAsia"/>
          <w:color w:val="auto"/>
        </w:rPr>
        <w:t>日</w:t>
      </w:r>
      <w:r>
        <w:rPr>
          <w:color w:val="auto"/>
        </w:rPr>
        <w:t>；</w:t>
      </w:r>
    </w:p>
    <w:p w14:paraId="532B6D85">
      <w:pPr>
        <w:pStyle w:val="7"/>
        <w:bidi w:val="0"/>
        <w:rPr>
          <w:color w:val="auto"/>
        </w:rPr>
      </w:pPr>
      <w:r>
        <w:rPr>
          <w:color w:val="auto"/>
        </w:rPr>
        <w:t>（</w:t>
      </w:r>
      <w:r>
        <w:rPr>
          <w:rFonts w:hint="eastAsia"/>
          <w:color w:val="auto"/>
          <w:lang w:val="en-US" w:eastAsia="zh-CN"/>
        </w:rPr>
        <w:t>13</w:t>
      </w:r>
      <w:r>
        <w:rPr>
          <w:color w:val="auto"/>
        </w:rPr>
        <w:t>）《环境空气质量标准》（GB3095-2012），</w:t>
      </w:r>
      <w:r>
        <w:rPr>
          <w:rFonts w:hint="eastAsia"/>
          <w:color w:val="auto"/>
        </w:rPr>
        <w:t>2</w:t>
      </w:r>
      <w:r>
        <w:rPr>
          <w:color w:val="auto"/>
        </w:rPr>
        <w:t>012年</w:t>
      </w:r>
      <w:r>
        <w:rPr>
          <w:rFonts w:hint="eastAsia"/>
          <w:color w:val="auto"/>
        </w:rPr>
        <w:t>2月2</w:t>
      </w:r>
      <w:r>
        <w:rPr>
          <w:color w:val="auto"/>
        </w:rPr>
        <w:t>9日；</w:t>
      </w:r>
    </w:p>
    <w:p w14:paraId="139C257B">
      <w:pPr>
        <w:pStyle w:val="7"/>
        <w:bidi w:val="0"/>
        <w:rPr>
          <w:color w:val="auto"/>
        </w:rPr>
      </w:pPr>
      <w:r>
        <w:rPr>
          <w:color w:val="auto"/>
        </w:rPr>
        <w:t>（</w:t>
      </w:r>
      <w:r>
        <w:rPr>
          <w:rFonts w:hint="eastAsia"/>
          <w:color w:val="auto"/>
          <w:lang w:val="en-US" w:eastAsia="zh-CN"/>
        </w:rPr>
        <w:t>14</w:t>
      </w:r>
      <w:r>
        <w:rPr>
          <w:color w:val="auto"/>
        </w:rPr>
        <w:t>）《土壤环境质量</w:t>
      </w:r>
      <w:r>
        <w:rPr>
          <w:rFonts w:hint="eastAsia"/>
          <w:color w:val="auto"/>
        </w:rPr>
        <w:t>-</w:t>
      </w:r>
      <w:r>
        <w:rPr>
          <w:color w:val="auto"/>
        </w:rPr>
        <w:t>建设用地土壤环境风险管控标准（试行）》（GB36600-2018），</w:t>
      </w:r>
      <w:r>
        <w:rPr>
          <w:rFonts w:hint="eastAsia"/>
          <w:color w:val="auto"/>
        </w:rPr>
        <w:t>2</w:t>
      </w:r>
      <w:r>
        <w:rPr>
          <w:color w:val="auto"/>
        </w:rPr>
        <w:t>018年</w:t>
      </w:r>
      <w:r>
        <w:rPr>
          <w:rFonts w:hint="eastAsia"/>
          <w:color w:val="auto"/>
        </w:rPr>
        <w:t>6月2</w:t>
      </w:r>
      <w:r>
        <w:rPr>
          <w:color w:val="auto"/>
        </w:rPr>
        <w:t>2日;</w:t>
      </w:r>
    </w:p>
    <w:p w14:paraId="0B056739">
      <w:pPr>
        <w:pStyle w:val="7"/>
        <w:bidi w:val="0"/>
        <w:rPr>
          <w:color w:val="auto"/>
        </w:rPr>
      </w:pPr>
      <w:r>
        <w:rPr>
          <w:color w:val="auto"/>
        </w:rPr>
        <w:t>（</w:t>
      </w:r>
      <w:r>
        <w:rPr>
          <w:rFonts w:hint="eastAsia"/>
          <w:color w:val="auto"/>
          <w:lang w:val="en-US" w:eastAsia="zh-CN"/>
        </w:rPr>
        <w:t>15</w:t>
      </w:r>
      <w:r>
        <w:rPr>
          <w:color w:val="auto"/>
        </w:rPr>
        <w:t>）《大气污染物综合排放标准》（GB16297-1996），</w:t>
      </w:r>
      <w:r>
        <w:rPr>
          <w:rFonts w:hint="eastAsia"/>
          <w:color w:val="auto"/>
        </w:rPr>
        <w:t>1</w:t>
      </w:r>
      <w:r>
        <w:rPr>
          <w:color w:val="auto"/>
        </w:rPr>
        <w:t>996年</w:t>
      </w:r>
      <w:r>
        <w:rPr>
          <w:rFonts w:hint="eastAsia"/>
          <w:color w:val="auto"/>
        </w:rPr>
        <w:t>4月1</w:t>
      </w:r>
      <w:r>
        <w:rPr>
          <w:color w:val="auto"/>
        </w:rPr>
        <w:t>2日；</w:t>
      </w:r>
    </w:p>
    <w:p w14:paraId="45C053A8">
      <w:pPr>
        <w:pStyle w:val="7"/>
        <w:bidi w:val="0"/>
        <w:rPr>
          <w:color w:val="auto"/>
        </w:rPr>
      </w:pPr>
      <w:r>
        <w:rPr>
          <w:color w:val="auto"/>
        </w:rPr>
        <w:t>（</w:t>
      </w:r>
      <w:r>
        <w:rPr>
          <w:rFonts w:hint="eastAsia"/>
          <w:color w:val="auto"/>
          <w:lang w:val="en-US" w:eastAsia="zh-CN"/>
        </w:rPr>
        <w:t>16</w:t>
      </w:r>
      <w:r>
        <w:rPr>
          <w:color w:val="auto"/>
        </w:rPr>
        <w:t>）《锅炉大气污染物排放标准》（GB13271-2018），</w:t>
      </w:r>
      <w:r>
        <w:rPr>
          <w:rFonts w:hint="eastAsia"/>
          <w:color w:val="auto"/>
        </w:rPr>
        <w:t>2</w:t>
      </w:r>
      <w:r>
        <w:rPr>
          <w:color w:val="auto"/>
        </w:rPr>
        <w:t>014年7月1日；</w:t>
      </w:r>
    </w:p>
    <w:p w14:paraId="15C30E6C">
      <w:pPr>
        <w:pStyle w:val="7"/>
        <w:bidi w:val="0"/>
        <w:rPr>
          <w:color w:val="auto"/>
        </w:rPr>
      </w:pPr>
      <w:r>
        <w:rPr>
          <w:color w:val="auto"/>
        </w:rPr>
        <w:t>（</w:t>
      </w:r>
      <w:r>
        <w:rPr>
          <w:rFonts w:hint="eastAsia"/>
          <w:color w:val="auto"/>
          <w:lang w:val="en-US" w:eastAsia="zh-CN"/>
        </w:rPr>
        <w:t>17</w:t>
      </w:r>
      <w:r>
        <w:rPr>
          <w:color w:val="auto"/>
        </w:rPr>
        <w:t>）《污水综合排放标准》（GB8978-1996），</w:t>
      </w:r>
      <w:r>
        <w:rPr>
          <w:rFonts w:hint="eastAsia"/>
          <w:color w:val="auto"/>
        </w:rPr>
        <w:t>1</w:t>
      </w:r>
      <w:r>
        <w:rPr>
          <w:color w:val="auto"/>
        </w:rPr>
        <w:t>996年</w:t>
      </w:r>
      <w:r>
        <w:rPr>
          <w:rFonts w:hint="eastAsia"/>
          <w:color w:val="auto"/>
        </w:rPr>
        <w:t>1</w:t>
      </w:r>
      <w:r>
        <w:rPr>
          <w:color w:val="auto"/>
        </w:rPr>
        <w:t>0月</w:t>
      </w:r>
      <w:r>
        <w:rPr>
          <w:rFonts w:hint="eastAsia"/>
          <w:color w:val="auto"/>
        </w:rPr>
        <w:t>4日</w:t>
      </w:r>
      <w:r>
        <w:rPr>
          <w:color w:val="auto"/>
        </w:rPr>
        <w:t>；</w:t>
      </w:r>
    </w:p>
    <w:p w14:paraId="4E6A8563">
      <w:pPr>
        <w:pStyle w:val="7"/>
        <w:bidi w:val="0"/>
        <w:rPr>
          <w:color w:val="auto"/>
        </w:rPr>
      </w:pPr>
      <w:r>
        <w:rPr>
          <w:color w:val="auto"/>
        </w:rPr>
        <w:t>（</w:t>
      </w:r>
      <w:r>
        <w:rPr>
          <w:rFonts w:hint="eastAsia"/>
          <w:color w:val="auto"/>
          <w:lang w:val="en-US" w:eastAsia="zh-CN"/>
        </w:rPr>
        <w:t>18</w:t>
      </w:r>
      <w:r>
        <w:rPr>
          <w:color w:val="auto"/>
        </w:rPr>
        <w:t>）《恶臭污染物排放标准》（GB14554-93），</w:t>
      </w:r>
      <w:r>
        <w:rPr>
          <w:rFonts w:hint="eastAsia"/>
          <w:color w:val="auto"/>
        </w:rPr>
        <w:t>1</w:t>
      </w:r>
      <w:r>
        <w:rPr>
          <w:color w:val="auto"/>
        </w:rPr>
        <w:t>993年</w:t>
      </w:r>
      <w:r>
        <w:rPr>
          <w:rFonts w:hint="eastAsia"/>
          <w:color w:val="auto"/>
        </w:rPr>
        <w:t>8月6日</w:t>
      </w:r>
      <w:r>
        <w:rPr>
          <w:color w:val="auto"/>
        </w:rPr>
        <w:t>；</w:t>
      </w:r>
    </w:p>
    <w:p w14:paraId="7402BCFC">
      <w:pPr>
        <w:pStyle w:val="7"/>
        <w:bidi w:val="0"/>
        <w:rPr>
          <w:color w:val="auto"/>
        </w:rPr>
      </w:pPr>
      <w:r>
        <w:rPr>
          <w:color w:val="auto"/>
        </w:rPr>
        <w:t>（</w:t>
      </w:r>
      <w:r>
        <w:rPr>
          <w:rFonts w:hint="eastAsia"/>
          <w:color w:val="auto"/>
          <w:lang w:val="en-US" w:eastAsia="zh-CN"/>
        </w:rPr>
        <w:t>19</w:t>
      </w:r>
      <w:r>
        <w:rPr>
          <w:color w:val="auto"/>
        </w:rPr>
        <w:t>）《挥发性有机物</w:t>
      </w:r>
      <w:r>
        <w:rPr>
          <w:rFonts w:hint="eastAsia"/>
          <w:color w:val="auto"/>
        </w:rPr>
        <w:t>无组织</w:t>
      </w:r>
      <w:r>
        <w:rPr>
          <w:color w:val="auto"/>
        </w:rPr>
        <w:t>排放控制标准》（GB37822-2019），</w:t>
      </w:r>
      <w:r>
        <w:rPr>
          <w:rFonts w:hint="eastAsia"/>
          <w:color w:val="auto"/>
        </w:rPr>
        <w:t>2</w:t>
      </w:r>
      <w:r>
        <w:rPr>
          <w:color w:val="auto"/>
        </w:rPr>
        <w:t>019年7</w:t>
      </w:r>
      <w:r>
        <w:rPr>
          <w:rFonts w:hint="eastAsia"/>
          <w:color w:val="auto"/>
        </w:rPr>
        <w:t>月1</w:t>
      </w:r>
      <w:r>
        <w:rPr>
          <w:color w:val="auto"/>
        </w:rPr>
        <w:t>日；</w:t>
      </w:r>
    </w:p>
    <w:p w14:paraId="7518F73C">
      <w:pPr>
        <w:pStyle w:val="7"/>
        <w:bidi w:val="0"/>
        <w:rPr>
          <w:color w:val="auto"/>
        </w:rPr>
      </w:pPr>
      <w:r>
        <w:rPr>
          <w:color w:val="auto"/>
        </w:rPr>
        <w:t>（2</w:t>
      </w:r>
      <w:r>
        <w:rPr>
          <w:rFonts w:hint="eastAsia"/>
          <w:color w:val="auto"/>
          <w:lang w:val="en-US" w:eastAsia="zh-CN"/>
        </w:rPr>
        <w:t>0</w:t>
      </w:r>
      <w:r>
        <w:rPr>
          <w:color w:val="auto"/>
        </w:rPr>
        <w:t>）《一般工业固体废物贮存</w:t>
      </w:r>
      <w:r>
        <w:rPr>
          <w:rFonts w:hint="eastAsia"/>
          <w:color w:val="auto"/>
        </w:rPr>
        <w:t>和填埋</w:t>
      </w:r>
      <w:r>
        <w:rPr>
          <w:color w:val="auto"/>
        </w:rPr>
        <w:t>污染控制标准》（GB18599-2020），</w:t>
      </w:r>
      <w:r>
        <w:rPr>
          <w:rFonts w:hint="eastAsia"/>
          <w:color w:val="auto"/>
        </w:rPr>
        <w:t>2</w:t>
      </w:r>
      <w:r>
        <w:rPr>
          <w:color w:val="auto"/>
        </w:rPr>
        <w:t>021年7月1日；</w:t>
      </w:r>
    </w:p>
    <w:p w14:paraId="023E66A8">
      <w:pPr>
        <w:pStyle w:val="7"/>
        <w:bidi w:val="0"/>
        <w:rPr>
          <w:color w:val="auto"/>
        </w:rPr>
      </w:pPr>
      <w:r>
        <w:rPr>
          <w:color w:val="auto"/>
        </w:rPr>
        <w:t>（</w:t>
      </w:r>
      <w:r>
        <w:rPr>
          <w:rFonts w:hint="eastAsia"/>
          <w:color w:val="auto"/>
          <w:lang w:val="en-US" w:eastAsia="zh-CN"/>
        </w:rPr>
        <w:t>21</w:t>
      </w:r>
      <w:r>
        <w:rPr>
          <w:color w:val="auto"/>
        </w:rPr>
        <w:t>）《危险废物贮存污染控制标准》（GB18597-20</w:t>
      </w:r>
      <w:r>
        <w:rPr>
          <w:rFonts w:hint="eastAsia"/>
          <w:color w:val="auto"/>
          <w:lang w:val="en-US" w:eastAsia="zh-CN"/>
        </w:rPr>
        <w:t>23</w:t>
      </w:r>
      <w:r>
        <w:rPr>
          <w:color w:val="auto"/>
        </w:rPr>
        <w:t>）</w:t>
      </w:r>
      <w:r>
        <w:rPr>
          <w:rFonts w:hint="eastAsia"/>
          <w:color w:val="auto"/>
        </w:rPr>
        <w:t>，2</w:t>
      </w:r>
      <w:r>
        <w:rPr>
          <w:color w:val="auto"/>
        </w:rPr>
        <w:t>0</w:t>
      </w:r>
      <w:r>
        <w:rPr>
          <w:rFonts w:hint="eastAsia"/>
          <w:color w:val="auto"/>
          <w:lang w:val="en-US" w:eastAsia="zh-CN"/>
        </w:rPr>
        <w:t>23</w:t>
      </w:r>
      <w:r>
        <w:rPr>
          <w:rFonts w:hint="eastAsia"/>
          <w:color w:val="auto"/>
        </w:rPr>
        <w:t>年</w:t>
      </w:r>
      <w:r>
        <w:rPr>
          <w:rFonts w:hint="eastAsia"/>
          <w:color w:val="auto"/>
          <w:lang w:val="en-US" w:eastAsia="zh-CN"/>
        </w:rPr>
        <w:t>1</w:t>
      </w:r>
      <w:r>
        <w:rPr>
          <w:rFonts w:hint="eastAsia"/>
          <w:color w:val="auto"/>
        </w:rPr>
        <w:t>月</w:t>
      </w:r>
      <w:r>
        <w:rPr>
          <w:rFonts w:hint="eastAsia"/>
          <w:color w:val="auto"/>
          <w:lang w:val="en-US" w:eastAsia="zh-CN"/>
        </w:rPr>
        <w:t>20</w:t>
      </w:r>
      <w:r>
        <w:rPr>
          <w:rFonts w:hint="eastAsia"/>
          <w:color w:val="auto"/>
        </w:rPr>
        <w:t>日</w:t>
      </w:r>
      <w:r>
        <w:rPr>
          <w:color w:val="auto"/>
        </w:rPr>
        <w:t>；</w:t>
      </w:r>
    </w:p>
    <w:p w14:paraId="22BF69DD">
      <w:pPr>
        <w:pStyle w:val="7"/>
        <w:bidi w:val="0"/>
        <w:rPr>
          <w:color w:val="auto"/>
        </w:rPr>
      </w:pPr>
      <w:r>
        <w:rPr>
          <w:color w:val="auto"/>
        </w:rPr>
        <w:t>（30）《工业企业设计卫生标准》（GBZ1-20</w:t>
      </w:r>
      <w:r>
        <w:rPr>
          <w:rFonts w:hint="eastAsia"/>
          <w:color w:val="auto"/>
          <w:lang w:val="en-US" w:eastAsia="zh-CN"/>
        </w:rPr>
        <w:t>25</w:t>
      </w:r>
      <w:r>
        <w:rPr>
          <w:color w:val="auto"/>
        </w:rPr>
        <w:t>），</w:t>
      </w:r>
      <w:r>
        <w:rPr>
          <w:rFonts w:hint="eastAsia"/>
          <w:color w:val="auto"/>
        </w:rPr>
        <w:t>2</w:t>
      </w:r>
      <w:r>
        <w:rPr>
          <w:color w:val="auto"/>
        </w:rPr>
        <w:t>0</w:t>
      </w:r>
      <w:r>
        <w:rPr>
          <w:rFonts w:hint="eastAsia"/>
          <w:color w:val="auto"/>
          <w:lang w:val="en-US" w:eastAsia="zh-CN"/>
        </w:rPr>
        <w:t>24</w:t>
      </w:r>
      <w:r>
        <w:rPr>
          <w:color w:val="auto"/>
        </w:rPr>
        <w:t>年</w:t>
      </w:r>
      <w:r>
        <w:rPr>
          <w:rFonts w:hint="eastAsia"/>
          <w:color w:val="auto"/>
          <w:lang w:val="en-US" w:eastAsia="zh-CN"/>
        </w:rPr>
        <w:t>8</w:t>
      </w:r>
      <w:r>
        <w:rPr>
          <w:rFonts w:hint="eastAsia"/>
          <w:color w:val="auto"/>
        </w:rPr>
        <w:t>月</w:t>
      </w:r>
      <w:r>
        <w:rPr>
          <w:rFonts w:hint="eastAsia"/>
          <w:color w:val="auto"/>
          <w:lang w:val="en-US" w:eastAsia="zh-CN"/>
        </w:rPr>
        <w:t>1</w:t>
      </w:r>
      <w:r>
        <w:rPr>
          <w:color w:val="auto"/>
        </w:rPr>
        <w:t>日；</w:t>
      </w:r>
    </w:p>
    <w:p w14:paraId="75BA807B">
      <w:pPr>
        <w:pStyle w:val="7"/>
        <w:bidi w:val="0"/>
        <w:rPr>
          <w:color w:val="auto"/>
        </w:rPr>
      </w:pPr>
      <w:r>
        <w:rPr>
          <w:color w:val="auto"/>
        </w:rPr>
        <w:t>（31）《储罐区防火堤设计规范》（GB50351-2014），</w:t>
      </w:r>
      <w:r>
        <w:rPr>
          <w:rFonts w:hint="eastAsia"/>
          <w:color w:val="auto"/>
        </w:rPr>
        <w:t>2014年3月31日</w:t>
      </w:r>
      <w:r>
        <w:rPr>
          <w:color w:val="auto"/>
        </w:rPr>
        <w:t>；</w:t>
      </w:r>
    </w:p>
    <w:p w14:paraId="4F62A14B">
      <w:pPr>
        <w:pStyle w:val="7"/>
        <w:bidi w:val="0"/>
        <w:rPr>
          <w:color w:val="auto"/>
        </w:rPr>
      </w:pPr>
      <w:r>
        <w:rPr>
          <w:color w:val="auto"/>
        </w:rPr>
        <w:t>（32）《集中式地表水饮用水水源地环境应急管理工作指南（试行）》，</w:t>
      </w:r>
      <w:r>
        <w:rPr>
          <w:rFonts w:hint="eastAsia"/>
          <w:color w:val="auto"/>
        </w:rPr>
        <w:t>2018年3月26日</w:t>
      </w:r>
      <w:r>
        <w:rPr>
          <w:color w:val="auto"/>
        </w:rPr>
        <w:t>。</w:t>
      </w:r>
    </w:p>
    <w:p w14:paraId="61490E53">
      <w:pPr>
        <w:pStyle w:val="7"/>
        <w:bidi w:val="0"/>
        <w:rPr>
          <w:color w:val="auto"/>
        </w:rPr>
      </w:pPr>
      <w:r>
        <w:rPr>
          <w:color w:val="auto"/>
        </w:rPr>
        <w:t>其他相关的法律、法规和规章制度等。</w:t>
      </w:r>
    </w:p>
    <w:p w14:paraId="1C444E27">
      <w:pPr>
        <w:pStyle w:val="7"/>
        <w:bidi w:val="0"/>
        <w:rPr>
          <w:color w:val="auto"/>
        </w:rPr>
      </w:pPr>
      <w:r>
        <w:rPr>
          <w:color w:val="auto"/>
        </w:rPr>
        <w:t>上述法律法规，以颁布实施的最新版本为准。</w:t>
      </w:r>
    </w:p>
    <w:p w14:paraId="4942C6FF">
      <w:pPr>
        <w:pStyle w:val="5"/>
        <w:bidi w:val="0"/>
        <w:rPr>
          <w:color w:val="auto"/>
        </w:rPr>
      </w:pPr>
      <w:bookmarkStart w:id="35" w:name="_Toc670383772"/>
      <w:bookmarkStart w:id="36" w:name="_Toc89469664"/>
      <w:bookmarkStart w:id="37" w:name="_Toc89548165"/>
      <w:bookmarkStart w:id="38" w:name="_Toc9324"/>
      <w:r>
        <w:rPr>
          <w:color w:val="auto"/>
        </w:rPr>
        <w:t>适用范围</w:t>
      </w:r>
      <w:bookmarkEnd w:id="22"/>
      <w:bookmarkEnd w:id="35"/>
      <w:bookmarkEnd w:id="36"/>
      <w:bookmarkEnd w:id="37"/>
      <w:bookmarkEnd w:id="38"/>
    </w:p>
    <w:p w14:paraId="1735AAEF">
      <w:pPr>
        <w:pStyle w:val="7"/>
        <w:bidi w:val="0"/>
        <w:rPr>
          <w:rFonts w:hint="eastAsia"/>
          <w:color w:val="auto"/>
        </w:rPr>
      </w:pPr>
      <w:r>
        <w:rPr>
          <w:rFonts w:hint="eastAsia"/>
          <w:color w:val="auto"/>
        </w:rPr>
        <w:t>本预案适用于</w:t>
      </w:r>
      <w:r>
        <w:rPr>
          <w:rFonts w:hint="eastAsia"/>
          <w:color w:val="auto"/>
          <w:lang w:val="en-US" w:eastAsia="zh-CN"/>
        </w:rPr>
        <w:t>额尔古纳市</w:t>
      </w:r>
      <w:r>
        <w:rPr>
          <w:rFonts w:hint="eastAsia"/>
          <w:color w:val="auto"/>
        </w:rPr>
        <w:t>行政区域内发生的突发环境事件，以及发生在</w:t>
      </w:r>
      <w:r>
        <w:rPr>
          <w:rFonts w:hint="eastAsia"/>
          <w:color w:val="auto"/>
          <w:lang w:val="en-US" w:eastAsia="zh-CN"/>
        </w:rPr>
        <w:t>额尔古纳市</w:t>
      </w:r>
      <w:r>
        <w:rPr>
          <w:rFonts w:hint="eastAsia"/>
          <w:color w:val="auto"/>
        </w:rPr>
        <w:t>行政区域外但</w:t>
      </w:r>
      <w:r>
        <w:rPr>
          <w:rFonts w:hint="eastAsia"/>
          <w:color w:val="auto"/>
          <w:lang w:val="en-US" w:eastAsia="zh-CN"/>
        </w:rPr>
        <w:t>额尔古纳市</w:t>
      </w:r>
      <w:r>
        <w:rPr>
          <w:rFonts w:hint="eastAsia"/>
          <w:color w:val="auto"/>
        </w:rPr>
        <w:t>可能受到影响的突发环境事件。</w:t>
      </w:r>
    </w:p>
    <w:p w14:paraId="2E79BF77">
      <w:pPr>
        <w:pStyle w:val="7"/>
        <w:bidi w:val="0"/>
        <w:rPr>
          <w:rFonts w:hint="eastAsia"/>
          <w:color w:val="auto"/>
        </w:rPr>
      </w:pPr>
      <w:r>
        <w:rPr>
          <w:rFonts w:hint="eastAsia"/>
          <w:color w:val="auto"/>
        </w:rPr>
        <w:t>本预案所称的突发环境事件，是指由于污染物排放或自然灾害、生产安全事故、交通事故等因素，导致污染物或放射性物质等有毒有害物质进入大气、水体、土壤等环境介质，突然造成或可能造成环境质量下降，危及公众身体健康和财产安全，或造成生态环境破坏，或造成重大社会影响，需要采取紧急措施予以应对的事件，主要包括大气污染、水体污染、土壤污染及危险废物等突发性环境污染事件。</w:t>
      </w:r>
    </w:p>
    <w:p w14:paraId="6BE2E0A7">
      <w:pPr>
        <w:pStyle w:val="7"/>
        <w:bidi w:val="0"/>
        <w:rPr>
          <w:rFonts w:hint="eastAsia"/>
          <w:color w:val="auto"/>
        </w:rPr>
      </w:pPr>
      <w:r>
        <w:rPr>
          <w:rFonts w:hint="eastAsia"/>
          <w:color w:val="auto"/>
        </w:rPr>
        <w:t>核设施及有关核活动发生的核事故所造成的辐射污染事件应对工作按照其他相关应急预案规定执行；重污染天气应对工作按照《</w:t>
      </w:r>
      <w:r>
        <w:rPr>
          <w:rFonts w:hint="eastAsia"/>
          <w:color w:val="auto"/>
          <w:lang w:val="en-US" w:eastAsia="zh-CN"/>
        </w:rPr>
        <w:t>额尔古纳市</w:t>
      </w:r>
      <w:r>
        <w:rPr>
          <w:rFonts w:hint="eastAsia"/>
          <w:color w:val="auto"/>
        </w:rPr>
        <w:t>重污染天气应急预案》规定执行。</w:t>
      </w:r>
    </w:p>
    <w:p w14:paraId="1F4CD1A7">
      <w:pPr>
        <w:pStyle w:val="5"/>
        <w:bidi w:val="0"/>
        <w:rPr>
          <w:color w:val="auto"/>
        </w:rPr>
      </w:pPr>
      <w:bookmarkStart w:id="39" w:name="_Toc89469665"/>
      <w:bookmarkStart w:id="40" w:name="_Toc89548166"/>
      <w:bookmarkStart w:id="41" w:name="_Toc18666"/>
      <w:bookmarkStart w:id="42" w:name="_Toc1440843842"/>
      <w:bookmarkStart w:id="43" w:name="_Toc398733573"/>
      <w:r>
        <w:rPr>
          <w:color w:val="auto"/>
        </w:rPr>
        <w:t>工作原则</w:t>
      </w:r>
      <w:bookmarkEnd w:id="39"/>
      <w:bookmarkEnd w:id="40"/>
      <w:bookmarkEnd w:id="41"/>
      <w:bookmarkEnd w:id="42"/>
      <w:bookmarkEnd w:id="43"/>
    </w:p>
    <w:p w14:paraId="3E125ECD">
      <w:pPr>
        <w:pStyle w:val="7"/>
        <w:bidi w:val="0"/>
        <w:rPr>
          <w:color w:val="auto"/>
        </w:rPr>
      </w:pPr>
      <w:r>
        <w:rPr>
          <w:color w:val="auto"/>
        </w:rPr>
        <w:t>以科学发展观为指导，坚持以人为本、预防为主，按照统一指挥、快速反应、科学应对、高效处置、权责明确的工作原则，做到早发现、早报告、早处理，提高快速反应与应急处置能力，积极有效地控制污染态势和消除环境污染事件带来的危害，最大程度地保障公众健康和人民群众的生命财产安全。</w:t>
      </w:r>
    </w:p>
    <w:p w14:paraId="47CEDE27">
      <w:pPr>
        <w:pStyle w:val="6"/>
        <w:bidi w:val="0"/>
        <w:rPr>
          <w:color w:val="auto"/>
        </w:rPr>
      </w:pPr>
      <w:bookmarkStart w:id="44" w:name="_Toc117"/>
      <w:bookmarkStart w:id="45" w:name="_Toc89469666"/>
      <w:bookmarkStart w:id="46" w:name="_Toc89548167"/>
      <w:bookmarkStart w:id="47" w:name="_Toc1236848922"/>
      <w:r>
        <w:rPr>
          <w:color w:val="auto"/>
        </w:rPr>
        <w:t>以人为本，预防为主</w:t>
      </w:r>
      <w:bookmarkEnd w:id="44"/>
      <w:bookmarkEnd w:id="45"/>
      <w:bookmarkEnd w:id="46"/>
      <w:bookmarkEnd w:id="47"/>
    </w:p>
    <w:p w14:paraId="4462D725">
      <w:pPr>
        <w:pStyle w:val="7"/>
        <w:bidi w:val="0"/>
        <w:rPr>
          <w:color w:val="auto"/>
        </w:rPr>
      </w:pPr>
      <w:r>
        <w:rPr>
          <w:color w:val="auto"/>
        </w:rPr>
        <w:t>把保障人民群众的生命财产安全和身心健康作为应急工作的出发点和落脚点，最大限度地减少突发环境事件造成的人员伤亡和财产损失。把事件防范作为主要工作任务，加强对环境事件危险源的监测、监控和监管，健全环境事件风险防范体系，积极预防、及时控制和消除隐患，提高环境事件防范和处理能力。</w:t>
      </w:r>
    </w:p>
    <w:p w14:paraId="29868BB4">
      <w:pPr>
        <w:pStyle w:val="6"/>
        <w:bidi w:val="0"/>
        <w:rPr>
          <w:color w:val="auto"/>
        </w:rPr>
      </w:pPr>
      <w:bookmarkStart w:id="48" w:name="_Toc78129094"/>
      <w:bookmarkStart w:id="49" w:name="_Toc6707"/>
      <w:bookmarkStart w:id="50" w:name="_Toc89548168"/>
      <w:bookmarkStart w:id="51" w:name="_Toc89469667"/>
      <w:r>
        <w:rPr>
          <w:color w:val="auto"/>
        </w:rPr>
        <w:t>统一领导，分级负责</w:t>
      </w:r>
      <w:bookmarkEnd w:id="48"/>
      <w:bookmarkEnd w:id="49"/>
      <w:bookmarkEnd w:id="50"/>
      <w:bookmarkEnd w:id="51"/>
    </w:p>
    <w:p w14:paraId="0B35CA2D">
      <w:pPr>
        <w:pStyle w:val="7"/>
        <w:bidi w:val="0"/>
        <w:rPr>
          <w:color w:val="auto"/>
        </w:rPr>
      </w:pPr>
      <w:r>
        <w:rPr>
          <w:color w:val="auto"/>
        </w:rPr>
        <w:t>完善环境事件应急指挥系统和应急管理体系。在市委、市政府的统一领导下，充分发挥镇/街道人民政府职能作用，落实各级领导责任制，履行好各部门的管理、监督、协调、服务职能，发挥各应急机构、队伍的作用。</w:t>
      </w:r>
    </w:p>
    <w:p w14:paraId="671F3D47">
      <w:pPr>
        <w:pStyle w:val="6"/>
        <w:bidi w:val="0"/>
        <w:rPr>
          <w:color w:val="auto"/>
        </w:rPr>
      </w:pPr>
      <w:bookmarkStart w:id="52" w:name="_Toc1003174541"/>
      <w:bookmarkStart w:id="53" w:name="_Toc89548169"/>
      <w:bookmarkStart w:id="54" w:name="_Toc15750"/>
      <w:bookmarkStart w:id="55" w:name="_Toc89469668"/>
      <w:r>
        <w:rPr>
          <w:color w:val="auto"/>
        </w:rPr>
        <w:t>履行责任，加强合作</w:t>
      </w:r>
      <w:bookmarkEnd w:id="52"/>
      <w:bookmarkEnd w:id="53"/>
      <w:bookmarkEnd w:id="54"/>
      <w:bookmarkEnd w:id="55"/>
    </w:p>
    <w:p w14:paraId="74BEE3CD">
      <w:pPr>
        <w:pStyle w:val="7"/>
        <w:bidi w:val="0"/>
        <w:rPr>
          <w:color w:val="auto"/>
        </w:rPr>
      </w:pPr>
      <w:r>
        <w:rPr>
          <w:color w:val="auto"/>
        </w:rPr>
        <w:t>各级各部门按突发环境事件应急工作职责，规范工作程序和处置行为。建立跨区域、跨部门的应急联动工作机制，加强各地、各部门之间的协同与合作，提高快速反应能力。</w:t>
      </w:r>
    </w:p>
    <w:p w14:paraId="59F06C49">
      <w:pPr>
        <w:pStyle w:val="6"/>
        <w:bidi w:val="0"/>
        <w:rPr>
          <w:color w:val="auto"/>
        </w:rPr>
      </w:pPr>
      <w:bookmarkStart w:id="56" w:name="_Toc89548170"/>
      <w:bookmarkStart w:id="57" w:name="_Toc460397990"/>
      <w:bookmarkStart w:id="58" w:name="_Toc11476"/>
      <w:bookmarkStart w:id="59" w:name="_Toc89469669"/>
      <w:r>
        <w:rPr>
          <w:color w:val="auto"/>
        </w:rPr>
        <w:t>科学应对，高效处置</w:t>
      </w:r>
      <w:bookmarkEnd w:id="56"/>
      <w:bookmarkEnd w:id="57"/>
      <w:bookmarkEnd w:id="58"/>
      <w:bookmarkEnd w:id="59"/>
    </w:p>
    <w:p w14:paraId="6726070F">
      <w:pPr>
        <w:pStyle w:val="7"/>
        <w:bidi w:val="0"/>
        <w:rPr>
          <w:color w:val="auto"/>
        </w:rPr>
      </w:pPr>
      <w:r>
        <w:rPr>
          <w:color w:val="auto"/>
        </w:rPr>
        <w:t>依靠科技进步，不断改进和完善应急救援的装备、设施和手段。采用先进技术，充分发挥专家和专业救援力量的骨干作用，依法及时采取一切有效措施，果断、迅速处置。</w:t>
      </w:r>
    </w:p>
    <w:p w14:paraId="293ECC87">
      <w:pPr>
        <w:pStyle w:val="6"/>
        <w:bidi w:val="0"/>
        <w:rPr>
          <w:color w:val="auto"/>
        </w:rPr>
      </w:pPr>
      <w:bookmarkStart w:id="60" w:name="_Toc89469670"/>
      <w:bookmarkStart w:id="61" w:name="_Toc525437789"/>
      <w:bookmarkStart w:id="62" w:name="_Toc89548171"/>
      <w:bookmarkStart w:id="63" w:name="_Toc4680"/>
      <w:r>
        <w:rPr>
          <w:color w:val="auto"/>
        </w:rPr>
        <w:t>加强监管，防微杜渐</w:t>
      </w:r>
      <w:bookmarkEnd w:id="60"/>
      <w:bookmarkEnd w:id="61"/>
      <w:bookmarkEnd w:id="62"/>
      <w:bookmarkEnd w:id="63"/>
    </w:p>
    <w:p w14:paraId="70152883">
      <w:pPr>
        <w:pStyle w:val="7"/>
        <w:bidi w:val="0"/>
        <w:rPr>
          <w:color w:val="auto"/>
        </w:rPr>
      </w:pPr>
      <w:r>
        <w:rPr>
          <w:color w:val="auto"/>
        </w:rPr>
        <w:t>加强对企业特别是一些重点环境风险源的监督管理工作，增强企业应对突发环境事件的责任感，督促企业不断完善管理手段，预防突发环境事件的发生。</w:t>
      </w:r>
    </w:p>
    <w:p w14:paraId="5FE3C39F">
      <w:pPr>
        <w:pStyle w:val="6"/>
        <w:bidi w:val="0"/>
        <w:rPr>
          <w:color w:val="auto"/>
        </w:rPr>
      </w:pPr>
      <w:bookmarkStart w:id="64" w:name="_Toc580163259"/>
      <w:bookmarkStart w:id="65" w:name="_Toc89469671"/>
      <w:bookmarkStart w:id="66" w:name="_Toc19012"/>
      <w:bookmarkStart w:id="67" w:name="_Toc89548172"/>
      <w:r>
        <w:rPr>
          <w:color w:val="auto"/>
        </w:rPr>
        <w:t>平战结合，专兼结合</w:t>
      </w:r>
      <w:bookmarkEnd w:id="64"/>
      <w:bookmarkEnd w:id="65"/>
      <w:bookmarkEnd w:id="66"/>
      <w:bookmarkEnd w:id="67"/>
    </w:p>
    <w:p w14:paraId="144267EC">
      <w:pPr>
        <w:pStyle w:val="7"/>
        <w:bidi w:val="0"/>
        <w:rPr>
          <w:color w:val="auto"/>
        </w:rPr>
      </w:pPr>
      <w:r>
        <w:rPr>
          <w:color w:val="auto"/>
        </w:rPr>
        <w:t>积极做好应对突发环境事件的思想准备、物资准备、技术准备、资金准备，加强培训演练，充分利用现有专业环境应急救援力量，整合环境监察、监测队伍，引导、鼓励实现一专多能，发挥受过专业培训的环境应急救援力量的作用</w:t>
      </w:r>
      <w:r>
        <w:rPr>
          <w:rFonts w:hint="eastAsia"/>
          <w:color w:val="auto"/>
        </w:rPr>
        <w:t>。</w:t>
      </w:r>
      <w:bookmarkStart w:id="68" w:name="_Toc398733577"/>
    </w:p>
    <w:p w14:paraId="4ECDAC5E">
      <w:pPr>
        <w:pStyle w:val="5"/>
        <w:bidi w:val="0"/>
        <w:rPr>
          <w:color w:val="auto"/>
        </w:rPr>
      </w:pPr>
      <w:bookmarkStart w:id="69" w:name="_Toc8700"/>
      <w:bookmarkStart w:id="70" w:name="_Toc1228136633"/>
      <w:bookmarkStart w:id="71" w:name="_Toc89469672"/>
      <w:bookmarkStart w:id="72" w:name="_Toc89548173"/>
      <w:bookmarkStart w:id="73" w:name="_Toc398733575"/>
      <w:r>
        <w:rPr>
          <w:color w:val="auto"/>
        </w:rPr>
        <w:t>突发环境事件分级</w:t>
      </w:r>
      <w:bookmarkEnd w:id="69"/>
      <w:bookmarkEnd w:id="70"/>
      <w:bookmarkEnd w:id="71"/>
      <w:bookmarkEnd w:id="72"/>
      <w:bookmarkEnd w:id="73"/>
    </w:p>
    <w:p w14:paraId="123314C1">
      <w:pPr>
        <w:pStyle w:val="6"/>
        <w:bidi w:val="0"/>
        <w:rPr>
          <w:color w:val="auto"/>
        </w:rPr>
      </w:pPr>
      <w:bookmarkStart w:id="74" w:name="_Toc12733"/>
      <w:r>
        <w:rPr>
          <w:color w:val="auto"/>
        </w:rPr>
        <w:t>《突发环境事件信息报告办法》(生态环境部第17号令)附录规定突发环境事件分级</w:t>
      </w:r>
      <w:bookmarkEnd w:id="74"/>
    </w:p>
    <w:p w14:paraId="2E9F39E7">
      <w:pPr>
        <w:pStyle w:val="7"/>
        <w:bidi w:val="0"/>
        <w:rPr>
          <w:color w:val="auto"/>
        </w:rPr>
      </w:pPr>
      <w:r>
        <w:rPr>
          <w:color w:val="auto"/>
        </w:rPr>
        <w:t>《突发环境事件信息报告办法》(生态环境部第17号令)附录规定突发环境事件分级标准分别为特别重大（</w:t>
      </w:r>
      <w:r>
        <w:rPr>
          <w:rFonts w:hint="eastAsia"/>
          <w:color w:val="auto"/>
        </w:rPr>
        <w:t>Ⅰ</w:t>
      </w:r>
      <w:r>
        <w:rPr>
          <w:color w:val="auto"/>
        </w:rPr>
        <w:t>级）、重大（</w:t>
      </w:r>
      <w:r>
        <w:rPr>
          <w:rFonts w:hint="eastAsia"/>
          <w:color w:val="auto"/>
        </w:rPr>
        <w:t>Ⅱ</w:t>
      </w:r>
      <w:r>
        <w:rPr>
          <w:color w:val="auto"/>
        </w:rPr>
        <w:t>级）、较大（</w:t>
      </w:r>
      <w:r>
        <w:rPr>
          <w:rFonts w:hint="eastAsia"/>
          <w:color w:val="auto"/>
        </w:rPr>
        <w:t>Ⅲ</w:t>
      </w:r>
      <w:r>
        <w:rPr>
          <w:color w:val="auto"/>
        </w:rPr>
        <w:t>级）和一般（</w:t>
      </w:r>
      <w:r>
        <w:rPr>
          <w:rFonts w:hint="eastAsia"/>
          <w:color w:val="auto"/>
        </w:rPr>
        <w:t>Ⅳ</w:t>
      </w:r>
      <w:r>
        <w:rPr>
          <w:color w:val="auto"/>
        </w:rPr>
        <w:t>级）四级。</w:t>
      </w:r>
      <w:bookmarkStart w:id="75" w:name="_Toc89469673"/>
      <w:bookmarkStart w:id="76" w:name="_Toc1827059514"/>
      <w:bookmarkStart w:id="77" w:name="_Toc89548174"/>
    </w:p>
    <w:p w14:paraId="587F5048">
      <w:pPr>
        <w:pStyle w:val="7"/>
        <w:bidi w:val="0"/>
        <w:rPr>
          <w:color w:val="auto"/>
        </w:rPr>
      </w:pPr>
      <w:r>
        <w:rPr>
          <w:color w:val="auto"/>
        </w:rPr>
        <w:t>特别重大（</w:t>
      </w:r>
      <w:r>
        <w:rPr>
          <w:rFonts w:hint="eastAsia"/>
          <w:color w:val="auto"/>
        </w:rPr>
        <w:t>Ⅰ</w:t>
      </w:r>
      <w:r>
        <w:rPr>
          <w:color w:val="auto"/>
        </w:rPr>
        <w:t>级）突发环境事件</w:t>
      </w:r>
      <w:bookmarkEnd w:id="75"/>
      <w:bookmarkEnd w:id="76"/>
      <w:bookmarkEnd w:id="77"/>
    </w:p>
    <w:p w14:paraId="0D0E7219">
      <w:pPr>
        <w:pStyle w:val="7"/>
        <w:bidi w:val="0"/>
        <w:rPr>
          <w:color w:val="auto"/>
        </w:rPr>
      </w:pPr>
      <w:r>
        <w:rPr>
          <w:color w:val="auto"/>
        </w:rPr>
        <w:t>凡符合下列情形之一的，为特别重大突发环境事件：</w:t>
      </w:r>
    </w:p>
    <w:p w14:paraId="56B93942">
      <w:pPr>
        <w:pStyle w:val="7"/>
        <w:bidi w:val="0"/>
        <w:rPr>
          <w:color w:val="auto"/>
        </w:rPr>
      </w:pPr>
      <w:r>
        <w:rPr>
          <w:color w:val="auto"/>
        </w:rPr>
        <w:t>（1）因环境污染直接导致30人以上死亡或100人以上中毒或重伤的；</w:t>
      </w:r>
    </w:p>
    <w:p w14:paraId="4E009964">
      <w:pPr>
        <w:pStyle w:val="7"/>
        <w:bidi w:val="0"/>
        <w:rPr>
          <w:color w:val="auto"/>
        </w:rPr>
      </w:pPr>
      <w:r>
        <w:rPr>
          <w:color w:val="auto"/>
        </w:rPr>
        <w:t>（2）因环境污染需疏散、转移群众5万人以上的；</w:t>
      </w:r>
    </w:p>
    <w:p w14:paraId="59910AD8">
      <w:pPr>
        <w:pStyle w:val="7"/>
        <w:bidi w:val="0"/>
        <w:rPr>
          <w:color w:val="auto"/>
        </w:rPr>
      </w:pPr>
      <w:r>
        <w:rPr>
          <w:color w:val="auto"/>
        </w:rPr>
        <w:t>（3）因环境污染造成直接经济损失1亿元以上的；</w:t>
      </w:r>
    </w:p>
    <w:p w14:paraId="416E4245">
      <w:pPr>
        <w:pStyle w:val="7"/>
        <w:bidi w:val="0"/>
        <w:rPr>
          <w:color w:val="auto"/>
        </w:rPr>
      </w:pPr>
      <w:r>
        <w:rPr>
          <w:color w:val="auto"/>
        </w:rPr>
        <w:t>（4）因环境污染造成区域生态功能丧失或国家重点保护物种灭绝的；</w:t>
      </w:r>
    </w:p>
    <w:p w14:paraId="480A8FCF">
      <w:pPr>
        <w:pStyle w:val="7"/>
        <w:bidi w:val="0"/>
        <w:rPr>
          <w:color w:val="auto"/>
        </w:rPr>
      </w:pPr>
      <w:r>
        <w:rPr>
          <w:color w:val="auto"/>
        </w:rPr>
        <w:t>（5）因环境污染造成地市级以上城市集中式饮用水水源地取水中断的；</w:t>
      </w:r>
    </w:p>
    <w:p w14:paraId="05906220">
      <w:pPr>
        <w:pStyle w:val="7"/>
        <w:bidi w:val="0"/>
        <w:rPr>
          <w:color w:val="auto"/>
        </w:rPr>
      </w:pPr>
      <w:r>
        <w:rPr>
          <w:color w:val="auto"/>
        </w:rPr>
        <w:t>（6）</w:t>
      </w:r>
      <w:r>
        <w:rPr>
          <w:rFonts w:hint="eastAsia"/>
          <w:color w:val="auto"/>
        </w:rPr>
        <w:t>Ⅰ</w:t>
      </w:r>
      <w:r>
        <w:rPr>
          <w:color w:val="auto"/>
        </w:rPr>
        <w:t>、</w:t>
      </w:r>
      <w:r>
        <w:rPr>
          <w:rFonts w:hint="eastAsia"/>
          <w:color w:val="auto"/>
        </w:rPr>
        <w:t>Ⅱ</w:t>
      </w:r>
      <w:r>
        <w:rPr>
          <w:color w:val="auto"/>
        </w:rPr>
        <w:t>类放射源丢失、被盗、失控并造成大范围严重辐射污染后果的；放射性同位素和射线装置失控导致3人以上急性死亡的；放射性物质泄漏，造成大范围辐射污染后果的；</w:t>
      </w:r>
    </w:p>
    <w:p w14:paraId="0F57A5A6">
      <w:pPr>
        <w:pStyle w:val="7"/>
        <w:bidi w:val="0"/>
        <w:rPr>
          <w:color w:val="auto"/>
        </w:rPr>
      </w:pPr>
      <w:r>
        <w:rPr>
          <w:color w:val="auto"/>
        </w:rPr>
        <w:t>（7）造成重大跨国境影响的境内突发环境事件。</w:t>
      </w:r>
    </w:p>
    <w:p w14:paraId="20B8AA34">
      <w:pPr>
        <w:pStyle w:val="7"/>
        <w:bidi w:val="0"/>
        <w:rPr>
          <w:color w:val="auto"/>
        </w:rPr>
      </w:pPr>
      <w:bookmarkStart w:id="78" w:name="_Toc520583345"/>
      <w:bookmarkStart w:id="79" w:name="_Toc89469674"/>
      <w:bookmarkStart w:id="80" w:name="_Toc89548175"/>
      <w:r>
        <w:rPr>
          <w:color w:val="auto"/>
        </w:rPr>
        <w:t>重大（</w:t>
      </w:r>
      <w:r>
        <w:rPr>
          <w:rFonts w:hint="eastAsia"/>
          <w:color w:val="auto"/>
        </w:rPr>
        <w:t>Ⅱ</w:t>
      </w:r>
      <w:r>
        <w:rPr>
          <w:color w:val="auto"/>
        </w:rPr>
        <w:t>级）突发环境事件</w:t>
      </w:r>
      <w:bookmarkEnd w:id="78"/>
      <w:bookmarkEnd w:id="79"/>
      <w:bookmarkEnd w:id="80"/>
    </w:p>
    <w:p w14:paraId="3E55E06A">
      <w:pPr>
        <w:pStyle w:val="7"/>
        <w:bidi w:val="0"/>
        <w:rPr>
          <w:color w:val="auto"/>
        </w:rPr>
      </w:pPr>
      <w:r>
        <w:rPr>
          <w:color w:val="auto"/>
        </w:rPr>
        <w:t>凡符合下列情形之一的，为重大突发环境事件：</w:t>
      </w:r>
    </w:p>
    <w:p w14:paraId="31AD19DC">
      <w:pPr>
        <w:pStyle w:val="7"/>
        <w:bidi w:val="0"/>
        <w:rPr>
          <w:color w:val="auto"/>
        </w:rPr>
      </w:pPr>
      <w:r>
        <w:rPr>
          <w:color w:val="auto"/>
        </w:rPr>
        <w:t>（1）因环境污染直接导致10人以上30人以下死亡或50人以上100人以下中毒或重伤的；</w:t>
      </w:r>
    </w:p>
    <w:p w14:paraId="534CD451">
      <w:pPr>
        <w:pStyle w:val="7"/>
        <w:bidi w:val="0"/>
        <w:rPr>
          <w:color w:val="auto"/>
        </w:rPr>
      </w:pPr>
      <w:r>
        <w:rPr>
          <w:color w:val="auto"/>
        </w:rPr>
        <w:t>（2）因环境污染需疏散、转移群众1万人以上5万人以下的；</w:t>
      </w:r>
    </w:p>
    <w:p w14:paraId="4DB251A0">
      <w:pPr>
        <w:pStyle w:val="7"/>
        <w:bidi w:val="0"/>
        <w:rPr>
          <w:color w:val="auto"/>
        </w:rPr>
      </w:pPr>
      <w:r>
        <w:rPr>
          <w:color w:val="auto"/>
        </w:rPr>
        <w:t>（3）因环境污染造成直接经济损失2000万元以上1亿元以下的；</w:t>
      </w:r>
    </w:p>
    <w:p w14:paraId="061F80D8">
      <w:pPr>
        <w:pStyle w:val="7"/>
        <w:bidi w:val="0"/>
        <w:rPr>
          <w:color w:val="auto"/>
        </w:rPr>
      </w:pPr>
      <w:r>
        <w:rPr>
          <w:color w:val="auto"/>
        </w:rPr>
        <w:t>（4）因环境污染造成区域生态功能部分丧失或国家重点保护野生动植物种群大批死亡的；</w:t>
      </w:r>
    </w:p>
    <w:p w14:paraId="06A465F6">
      <w:pPr>
        <w:pStyle w:val="7"/>
        <w:bidi w:val="0"/>
        <w:rPr>
          <w:color w:val="auto"/>
        </w:rPr>
      </w:pPr>
      <w:r>
        <w:rPr>
          <w:color w:val="auto"/>
        </w:rPr>
        <w:t>（5）因环境污染造成县级城市集中式饮用水水源地取水中断的；</w:t>
      </w:r>
    </w:p>
    <w:p w14:paraId="616D210C">
      <w:pPr>
        <w:pStyle w:val="7"/>
        <w:bidi w:val="0"/>
        <w:rPr>
          <w:color w:val="auto"/>
        </w:rPr>
      </w:pPr>
      <w:r>
        <w:rPr>
          <w:color w:val="auto"/>
        </w:rPr>
        <w:t>（6）重金属污染或危险化学品生产、贮运、使用过程中发生爆炸、泄漏等事件，或因倾倒、堆放、丢弃、遗撒危险废物等造成的突发环境事件发生在国家重点流域、国家级自然保护区、风景名胜区或居民聚集区、医院、学校等敏感区域的；</w:t>
      </w:r>
    </w:p>
    <w:p w14:paraId="6FB8E3BC">
      <w:pPr>
        <w:pStyle w:val="7"/>
        <w:bidi w:val="0"/>
        <w:rPr>
          <w:color w:val="auto"/>
        </w:rPr>
      </w:pPr>
      <w:r>
        <w:rPr>
          <w:color w:val="auto"/>
        </w:rPr>
        <w:t>（7）</w:t>
      </w:r>
      <w:r>
        <w:rPr>
          <w:rFonts w:hint="eastAsia"/>
          <w:color w:val="auto"/>
        </w:rPr>
        <w:t>Ⅰ</w:t>
      </w:r>
      <w:r>
        <w:rPr>
          <w:color w:val="auto"/>
        </w:rPr>
        <w:t>、</w:t>
      </w:r>
      <w:r>
        <w:rPr>
          <w:rFonts w:hint="eastAsia"/>
          <w:color w:val="auto"/>
        </w:rPr>
        <w:t>Ⅱ</w:t>
      </w:r>
      <w:r>
        <w:rPr>
          <w:color w:val="auto"/>
        </w:rPr>
        <w:t>类放射源丢失、被盗的；放射性同位素和射线装置失控导致3人以下急性死亡或者10人以上急性重度放射病、局部器官残疾的；放射性物质泄漏，造成较大范围辐射污染后果的；</w:t>
      </w:r>
    </w:p>
    <w:p w14:paraId="73B4AD7A">
      <w:pPr>
        <w:pStyle w:val="7"/>
        <w:bidi w:val="0"/>
        <w:rPr>
          <w:color w:val="auto"/>
        </w:rPr>
      </w:pPr>
      <w:r>
        <w:rPr>
          <w:color w:val="auto"/>
        </w:rPr>
        <w:t>（8）跨省（区、市）界突发环境事件。</w:t>
      </w:r>
    </w:p>
    <w:p w14:paraId="3354045B">
      <w:pPr>
        <w:pStyle w:val="7"/>
        <w:bidi w:val="0"/>
        <w:rPr>
          <w:color w:val="auto"/>
        </w:rPr>
      </w:pPr>
      <w:bookmarkStart w:id="81" w:name="_Toc89469675"/>
      <w:bookmarkStart w:id="82" w:name="_Toc595901537"/>
      <w:bookmarkStart w:id="83" w:name="_Toc89548176"/>
      <w:r>
        <w:rPr>
          <w:color w:val="auto"/>
        </w:rPr>
        <w:t>较大（</w:t>
      </w:r>
      <w:r>
        <w:rPr>
          <w:rFonts w:hint="eastAsia"/>
          <w:color w:val="auto"/>
        </w:rPr>
        <w:t>Ⅲ</w:t>
      </w:r>
      <w:r>
        <w:rPr>
          <w:color w:val="auto"/>
        </w:rPr>
        <w:t>级）突发环境事件</w:t>
      </w:r>
      <w:bookmarkEnd w:id="81"/>
      <w:bookmarkEnd w:id="82"/>
      <w:bookmarkEnd w:id="83"/>
    </w:p>
    <w:p w14:paraId="1063A9E9">
      <w:pPr>
        <w:pStyle w:val="7"/>
        <w:bidi w:val="0"/>
        <w:rPr>
          <w:color w:val="auto"/>
        </w:rPr>
      </w:pPr>
      <w:r>
        <w:rPr>
          <w:color w:val="auto"/>
        </w:rPr>
        <w:t>凡符合下列情形之一的，为较大突发环境事件：</w:t>
      </w:r>
    </w:p>
    <w:p w14:paraId="4222B914">
      <w:pPr>
        <w:pStyle w:val="7"/>
        <w:bidi w:val="0"/>
        <w:rPr>
          <w:color w:val="auto"/>
        </w:rPr>
      </w:pPr>
      <w:r>
        <w:rPr>
          <w:color w:val="auto"/>
        </w:rPr>
        <w:t>（1）因环境污染直接导致3人以上10人以下死亡或10人以上50人以下中毒或重伤的；</w:t>
      </w:r>
    </w:p>
    <w:p w14:paraId="7D50C14A">
      <w:pPr>
        <w:pStyle w:val="7"/>
        <w:bidi w:val="0"/>
        <w:rPr>
          <w:color w:val="auto"/>
        </w:rPr>
      </w:pPr>
      <w:r>
        <w:rPr>
          <w:color w:val="auto"/>
        </w:rPr>
        <w:t>（2）因环境污染需疏散、转移群众5000人以上1万人以下的；</w:t>
      </w:r>
    </w:p>
    <w:p w14:paraId="322228AB">
      <w:pPr>
        <w:pStyle w:val="7"/>
        <w:bidi w:val="0"/>
        <w:rPr>
          <w:color w:val="auto"/>
        </w:rPr>
      </w:pPr>
      <w:r>
        <w:rPr>
          <w:color w:val="auto"/>
        </w:rPr>
        <w:t>（3）因环境污染造成直接经济损失500万元以上2000万元以下的；</w:t>
      </w:r>
    </w:p>
    <w:p w14:paraId="1D8FA9DD">
      <w:pPr>
        <w:pStyle w:val="7"/>
        <w:bidi w:val="0"/>
        <w:rPr>
          <w:color w:val="auto"/>
        </w:rPr>
      </w:pPr>
      <w:r>
        <w:rPr>
          <w:color w:val="auto"/>
        </w:rPr>
        <w:t>（4）因环境污染造成国家重点保护的动植物物种受到破坏的；</w:t>
      </w:r>
    </w:p>
    <w:p w14:paraId="5B529739">
      <w:pPr>
        <w:pStyle w:val="7"/>
        <w:bidi w:val="0"/>
        <w:rPr>
          <w:color w:val="auto"/>
        </w:rPr>
      </w:pPr>
      <w:r>
        <w:rPr>
          <w:color w:val="auto"/>
        </w:rPr>
        <w:t>（5）因环境污染造成乡镇集中式饮用水水源地取水中断的；</w:t>
      </w:r>
    </w:p>
    <w:p w14:paraId="66429445">
      <w:pPr>
        <w:pStyle w:val="7"/>
        <w:bidi w:val="0"/>
        <w:rPr>
          <w:color w:val="auto"/>
        </w:rPr>
      </w:pPr>
      <w:r>
        <w:rPr>
          <w:color w:val="auto"/>
        </w:rPr>
        <w:t>（6）</w:t>
      </w:r>
      <w:r>
        <w:rPr>
          <w:rFonts w:hint="eastAsia"/>
          <w:color w:val="auto"/>
        </w:rPr>
        <w:t>Ⅲ</w:t>
      </w:r>
      <w:r>
        <w:rPr>
          <w:color w:val="auto"/>
        </w:rPr>
        <w:t>类放射源丢失、被盗的；放射性同位素和射线装置失控导致10人以下急性重度放射病、局部器官残疾的；放射性物质泄漏，造成小范围辐射污染后果的；</w:t>
      </w:r>
    </w:p>
    <w:p w14:paraId="0877CE79">
      <w:pPr>
        <w:pStyle w:val="7"/>
        <w:bidi w:val="0"/>
        <w:rPr>
          <w:color w:val="auto"/>
        </w:rPr>
      </w:pPr>
      <w:r>
        <w:rPr>
          <w:color w:val="auto"/>
        </w:rPr>
        <w:t>（7）跨地市界突发环境事件。</w:t>
      </w:r>
    </w:p>
    <w:p w14:paraId="1834A97E">
      <w:pPr>
        <w:pStyle w:val="7"/>
        <w:bidi w:val="0"/>
        <w:rPr>
          <w:color w:val="auto"/>
        </w:rPr>
      </w:pPr>
      <w:bookmarkStart w:id="84" w:name="_Toc89469676"/>
      <w:bookmarkStart w:id="85" w:name="_Toc89548177"/>
      <w:bookmarkStart w:id="86" w:name="_Toc1600886398"/>
      <w:r>
        <w:rPr>
          <w:color w:val="auto"/>
        </w:rPr>
        <w:t>一般（</w:t>
      </w:r>
      <w:r>
        <w:rPr>
          <w:rFonts w:hint="eastAsia"/>
          <w:color w:val="auto"/>
        </w:rPr>
        <w:t>Ⅳ</w:t>
      </w:r>
      <w:r>
        <w:rPr>
          <w:color w:val="auto"/>
        </w:rPr>
        <w:t>级）突发环境事件</w:t>
      </w:r>
      <w:bookmarkEnd w:id="84"/>
      <w:bookmarkEnd w:id="85"/>
      <w:bookmarkEnd w:id="86"/>
    </w:p>
    <w:p w14:paraId="61879420">
      <w:pPr>
        <w:pStyle w:val="7"/>
        <w:bidi w:val="0"/>
        <w:rPr>
          <w:color w:val="auto"/>
        </w:rPr>
      </w:pPr>
      <w:r>
        <w:rPr>
          <w:color w:val="auto"/>
        </w:rPr>
        <w:t>凡符合下列情形之一的，为一般突发环境事件：</w:t>
      </w:r>
    </w:p>
    <w:p w14:paraId="74097401">
      <w:pPr>
        <w:pStyle w:val="7"/>
        <w:bidi w:val="0"/>
        <w:rPr>
          <w:color w:val="auto"/>
        </w:rPr>
      </w:pPr>
      <w:r>
        <w:rPr>
          <w:color w:val="auto"/>
        </w:rPr>
        <w:t>（1）因环境污染直接导致3人以下死亡或10人以下中毒或重伤的；</w:t>
      </w:r>
    </w:p>
    <w:p w14:paraId="06D7844C">
      <w:pPr>
        <w:pStyle w:val="7"/>
        <w:bidi w:val="0"/>
        <w:rPr>
          <w:color w:val="auto"/>
        </w:rPr>
      </w:pPr>
      <w:r>
        <w:rPr>
          <w:color w:val="auto"/>
        </w:rPr>
        <w:t>（2）因环境污染需疏散、转移群众5000人以下的；</w:t>
      </w:r>
    </w:p>
    <w:p w14:paraId="5BA88F8F">
      <w:pPr>
        <w:pStyle w:val="7"/>
        <w:bidi w:val="0"/>
        <w:rPr>
          <w:color w:val="auto"/>
        </w:rPr>
      </w:pPr>
      <w:r>
        <w:rPr>
          <w:color w:val="auto"/>
        </w:rPr>
        <w:t>（3）因环境污染造成跨县级行政区域纠纷，引起一般性群体影响的；</w:t>
      </w:r>
    </w:p>
    <w:p w14:paraId="41E6CA91">
      <w:pPr>
        <w:pStyle w:val="7"/>
        <w:bidi w:val="0"/>
        <w:rPr>
          <w:color w:val="auto"/>
        </w:rPr>
      </w:pPr>
      <w:r>
        <w:rPr>
          <w:color w:val="auto"/>
        </w:rPr>
        <w:t>（4）IV、V类放射源丢失、被盗的；放射性同位素和射线装置失控导致人员受到超过年剂量限值的照射的；放射性物质泄漏，造成厂区内或设施内局部辐射污染后果的；</w:t>
      </w:r>
    </w:p>
    <w:p w14:paraId="41CD671C">
      <w:pPr>
        <w:pStyle w:val="7"/>
        <w:bidi w:val="0"/>
        <w:rPr>
          <w:color w:val="auto"/>
        </w:rPr>
      </w:pPr>
      <w:r>
        <w:rPr>
          <w:color w:val="auto"/>
        </w:rPr>
        <w:t>（5）对环境造成一定的影响，尚未达到较大突发环境事件级别的。</w:t>
      </w:r>
    </w:p>
    <w:p w14:paraId="7B26BD22">
      <w:pPr>
        <w:pStyle w:val="7"/>
        <w:bidi w:val="0"/>
        <w:rPr>
          <w:color w:val="auto"/>
        </w:rPr>
      </w:pPr>
      <w:r>
        <w:rPr>
          <w:color w:val="auto"/>
        </w:rPr>
        <w:t>上述分级标准有关数量的表述中，“以上”含本数，“以下”不含本数。</w:t>
      </w:r>
    </w:p>
    <w:p w14:paraId="1D5FEC9F">
      <w:pPr>
        <w:pStyle w:val="6"/>
        <w:bidi w:val="0"/>
        <w:rPr>
          <w:rFonts w:hint="eastAsia"/>
          <w:color w:val="auto"/>
        </w:rPr>
      </w:pPr>
      <w:bookmarkStart w:id="87" w:name="_Toc15340"/>
      <w:r>
        <w:rPr>
          <w:rFonts w:hint="eastAsia"/>
          <w:color w:val="auto"/>
          <w:lang w:val="en-US" w:eastAsia="zh-CN"/>
        </w:rPr>
        <w:t>额尔古纳市突发环境事件分级</w:t>
      </w:r>
      <w:bookmarkEnd w:id="87"/>
    </w:p>
    <w:p w14:paraId="4307AF7A">
      <w:pPr>
        <w:pStyle w:val="7"/>
        <w:bidi w:val="0"/>
        <w:rPr>
          <w:rFonts w:hint="eastAsia"/>
          <w:color w:val="auto"/>
          <w:lang w:val="en-US" w:eastAsia="zh-CN"/>
        </w:rPr>
      </w:pPr>
      <w:r>
        <w:rPr>
          <w:rFonts w:hint="eastAsia"/>
          <w:color w:val="auto"/>
          <w:lang w:val="en-US" w:eastAsia="zh-CN"/>
        </w:rPr>
        <w:t>上述</w:t>
      </w:r>
      <w:r>
        <w:rPr>
          <w:color w:val="auto"/>
        </w:rPr>
        <w:t>较大（</w:t>
      </w:r>
      <w:r>
        <w:rPr>
          <w:rFonts w:hint="eastAsia"/>
          <w:color w:val="auto"/>
        </w:rPr>
        <w:t>Ⅲ</w:t>
      </w:r>
      <w:r>
        <w:rPr>
          <w:color w:val="auto"/>
        </w:rPr>
        <w:t>级）</w:t>
      </w:r>
      <w:r>
        <w:rPr>
          <w:rFonts w:hint="eastAsia"/>
          <w:color w:val="auto"/>
          <w:lang w:val="en-US" w:eastAsia="zh-CN"/>
        </w:rPr>
        <w:t>及以上需由由呼伦贝尔市政府开展相关工作。</w:t>
      </w:r>
    </w:p>
    <w:p w14:paraId="5E351F03">
      <w:pPr>
        <w:pStyle w:val="7"/>
        <w:bidi w:val="0"/>
        <w:rPr>
          <w:rFonts w:hint="eastAsia"/>
          <w:color w:val="auto"/>
          <w:lang w:val="en-US" w:eastAsia="zh-CN"/>
        </w:rPr>
      </w:pPr>
      <w:r>
        <w:rPr>
          <w:rFonts w:hint="eastAsia"/>
          <w:color w:val="auto"/>
          <w:lang w:val="en-US" w:eastAsia="zh-CN"/>
        </w:rPr>
        <w:t>结合额尔古纳市实际情况，本次针对将额尔古纳市突发环境事件分为以下两个等级：</w:t>
      </w:r>
    </w:p>
    <w:p w14:paraId="736DFC55">
      <w:pPr>
        <w:pStyle w:val="7"/>
        <w:bidi w:val="0"/>
        <w:rPr>
          <w:rFonts w:hint="default"/>
          <w:color w:val="auto"/>
          <w:lang w:val="en-US" w:eastAsia="zh-CN"/>
        </w:rPr>
      </w:pPr>
      <w:r>
        <w:rPr>
          <w:rFonts w:hint="default"/>
          <w:b/>
          <w:bCs/>
          <w:color w:val="auto"/>
          <w:lang w:val="en-US" w:eastAsia="zh-CN"/>
        </w:rPr>
        <w:t>1.Ⅳ-A级（较重）突发环境事件</w:t>
      </w:r>
    </w:p>
    <w:p w14:paraId="77CDFB4A">
      <w:pPr>
        <w:pStyle w:val="7"/>
        <w:bidi w:val="0"/>
        <w:rPr>
          <w:rFonts w:hint="default"/>
          <w:color w:val="auto"/>
          <w:lang w:val="en-US" w:eastAsia="zh-CN"/>
        </w:rPr>
      </w:pPr>
      <w:r>
        <w:rPr>
          <w:rFonts w:hint="default"/>
          <w:color w:val="auto"/>
          <w:lang w:val="en-US" w:eastAsia="zh-CN"/>
        </w:rPr>
        <w:t>细分情形（符合下列情形之一的）：</w:t>
      </w:r>
    </w:p>
    <w:p w14:paraId="17B80CB2">
      <w:pPr>
        <w:pStyle w:val="7"/>
        <w:bidi w:val="0"/>
        <w:rPr>
          <w:rFonts w:hint="default"/>
          <w:color w:val="auto"/>
          <w:lang w:val="en-US" w:eastAsia="zh-CN"/>
        </w:rPr>
      </w:pPr>
      <w:r>
        <w:rPr>
          <w:rFonts w:hint="default"/>
          <w:color w:val="auto"/>
          <w:lang w:val="en-US" w:eastAsia="zh-CN"/>
        </w:rPr>
        <w:t>（1）因环境污染直接导致1人以上3人以下死亡，或3人以上10人以下中毒或重伤的；</w:t>
      </w:r>
    </w:p>
    <w:p w14:paraId="2151FB76">
      <w:pPr>
        <w:pStyle w:val="7"/>
        <w:bidi w:val="0"/>
        <w:rPr>
          <w:rFonts w:hint="default"/>
          <w:color w:val="auto"/>
          <w:lang w:val="en-US" w:eastAsia="zh-CN"/>
        </w:rPr>
      </w:pPr>
      <w:r>
        <w:rPr>
          <w:rFonts w:hint="default"/>
          <w:color w:val="auto"/>
          <w:lang w:val="en-US" w:eastAsia="zh-CN"/>
        </w:rPr>
        <w:t>（2）IV、V类放射源丢失、被盗的；放射性同位素和射线装置失控导致人员受到超过年剂量限值的照射的；放射性物质泄漏，造成厂区内或设施内局部辐射污染后果的。</w:t>
      </w:r>
    </w:p>
    <w:p w14:paraId="51A61CD3">
      <w:pPr>
        <w:pStyle w:val="7"/>
        <w:bidi w:val="0"/>
        <w:rPr>
          <w:rFonts w:hint="default"/>
          <w:color w:val="auto"/>
          <w:lang w:val="en-US" w:eastAsia="zh-CN"/>
        </w:rPr>
      </w:pPr>
      <w:r>
        <w:rPr>
          <w:rFonts w:hint="default"/>
          <w:b/>
          <w:bCs/>
          <w:color w:val="auto"/>
          <w:lang w:val="en-US" w:eastAsia="zh-CN"/>
        </w:rPr>
        <w:t>应急处理方式：</w:t>
      </w:r>
    </w:p>
    <w:p w14:paraId="3D6F1484">
      <w:pPr>
        <w:pStyle w:val="7"/>
        <w:bidi w:val="0"/>
        <w:rPr>
          <w:rFonts w:hint="default"/>
          <w:color w:val="auto"/>
          <w:lang w:val="en-US" w:eastAsia="zh-CN"/>
        </w:rPr>
      </w:pPr>
      <w:r>
        <w:rPr>
          <w:rFonts w:hint="default"/>
          <w:color w:val="auto"/>
          <w:lang w:val="en-US" w:eastAsia="zh-CN"/>
        </w:rPr>
        <w:t>立即启动应急响应：额尔古纳市生态环境部门会同应急管理、公安、卫生健康等部门立即启动突发环境事件应急预案，成立现场应急指挥部，在1小时内赶赴现场。</w:t>
      </w:r>
    </w:p>
    <w:p w14:paraId="364C16D8">
      <w:pPr>
        <w:pStyle w:val="7"/>
        <w:bidi w:val="0"/>
        <w:rPr>
          <w:rFonts w:hint="default"/>
          <w:color w:val="auto"/>
          <w:lang w:val="en-US" w:eastAsia="zh-CN"/>
        </w:rPr>
      </w:pPr>
      <w:r>
        <w:rPr>
          <w:rFonts w:hint="default"/>
          <w:color w:val="auto"/>
          <w:lang w:val="en-US" w:eastAsia="zh-CN"/>
        </w:rPr>
        <w:t>人员救助与医疗救援：优先救治伤亡人员，组织医疗资源对中毒或重伤者进行紧急医疗处置，必要时转移至上级医院；对辐射暴露人员立即进行医学检查和隔离治疗。</w:t>
      </w:r>
    </w:p>
    <w:p w14:paraId="46FF91D6">
      <w:pPr>
        <w:pStyle w:val="7"/>
        <w:bidi w:val="0"/>
        <w:rPr>
          <w:rFonts w:hint="default"/>
          <w:color w:val="auto"/>
          <w:lang w:val="en-US" w:eastAsia="zh-CN"/>
        </w:rPr>
      </w:pPr>
      <w:r>
        <w:rPr>
          <w:rFonts w:hint="default"/>
          <w:color w:val="auto"/>
          <w:lang w:val="en-US" w:eastAsia="zh-CN"/>
        </w:rPr>
        <w:t>辐射事件处理：对于放射源丢失、被盗或辐射泄漏，立即封锁现场，疏散周边人员（半径500米内），通知省级辐射防护机构协助处理；使用辐射监测设备追踪放射源，控制污染扩散；对受污染区域进行去污处理。</w:t>
      </w:r>
    </w:p>
    <w:p w14:paraId="4E093E2C">
      <w:pPr>
        <w:pStyle w:val="7"/>
        <w:bidi w:val="0"/>
        <w:rPr>
          <w:rFonts w:hint="default"/>
          <w:color w:val="auto"/>
          <w:lang w:val="en-US" w:eastAsia="zh-CN"/>
        </w:rPr>
      </w:pPr>
      <w:r>
        <w:rPr>
          <w:rFonts w:hint="default"/>
          <w:color w:val="auto"/>
          <w:lang w:val="en-US" w:eastAsia="zh-CN"/>
        </w:rPr>
        <w:t>污染控制与监测：采取紧急措施控制污染源（如堵漏、围堰等），防止污染物扩散；持续监测空气、水质和土壤污染状况，评估健康风险。</w:t>
      </w:r>
    </w:p>
    <w:p w14:paraId="7F12BC9D">
      <w:pPr>
        <w:pStyle w:val="7"/>
        <w:bidi w:val="0"/>
        <w:rPr>
          <w:rFonts w:hint="default"/>
          <w:color w:val="auto"/>
          <w:lang w:val="en-US" w:eastAsia="zh-CN"/>
        </w:rPr>
      </w:pPr>
      <w:r>
        <w:rPr>
          <w:rFonts w:hint="default"/>
          <w:color w:val="auto"/>
          <w:lang w:val="en-US" w:eastAsia="zh-CN"/>
        </w:rPr>
        <w:t>信息报告与公开：在2小时内向内蒙古自治区生态环境厅和额尔古纳市政府报告事件进展；通过官方渠道发布事件信息，避免公众恐慌。</w:t>
      </w:r>
    </w:p>
    <w:p w14:paraId="1E4C5BA0">
      <w:pPr>
        <w:pStyle w:val="7"/>
        <w:bidi w:val="0"/>
        <w:rPr>
          <w:rFonts w:hint="default"/>
          <w:color w:val="auto"/>
          <w:lang w:val="en-US" w:eastAsia="zh-CN"/>
        </w:rPr>
      </w:pPr>
      <w:r>
        <w:rPr>
          <w:rFonts w:hint="default"/>
          <w:color w:val="auto"/>
          <w:lang w:val="en-US" w:eastAsia="zh-CN"/>
        </w:rPr>
        <w:t>事后评估：事件处置后，组织专家对健康影响和环境影响进行评估，修订应急预案。</w:t>
      </w:r>
    </w:p>
    <w:p w14:paraId="210D3CBE">
      <w:pPr>
        <w:pStyle w:val="7"/>
        <w:bidi w:val="0"/>
        <w:rPr>
          <w:rFonts w:hint="default"/>
          <w:color w:val="auto"/>
          <w:lang w:val="en-US" w:eastAsia="zh-CN"/>
        </w:rPr>
      </w:pPr>
      <w:r>
        <w:rPr>
          <w:rFonts w:hint="default"/>
          <w:color w:val="auto"/>
          <w:lang w:val="en-US" w:eastAsia="zh-CN"/>
        </w:rPr>
        <w:t>2. Ⅳ-B级（较轻）突发环境事件</w:t>
      </w:r>
    </w:p>
    <w:p w14:paraId="30FD54AA">
      <w:pPr>
        <w:pStyle w:val="7"/>
        <w:bidi w:val="0"/>
        <w:rPr>
          <w:rFonts w:hint="default"/>
          <w:color w:val="auto"/>
          <w:lang w:val="en-US" w:eastAsia="zh-CN"/>
        </w:rPr>
      </w:pPr>
      <w:r>
        <w:rPr>
          <w:rFonts w:hint="default"/>
          <w:color w:val="auto"/>
          <w:lang w:val="en-US" w:eastAsia="zh-CN"/>
        </w:rPr>
        <w:t>细分情形（符合下列情形之一的）：</w:t>
      </w:r>
    </w:p>
    <w:p w14:paraId="2618DEF4">
      <w:pPr>
        <w:pStyle w:val="7"/>
        <w:bidi w:val="0"/>
        <w:rPr>
          <w:rFonts w:hint="default"/>
          <w:color w:val="auto"/>
          <w:lang w:val="en-US" w:eastAsia="zh-CN"/>
        </w:rPr>
      </w:pPr>
      <w:r>
        <w:rPr>
          <w:rFonts w:hint="default"/>
          <w:color w:val="auto"/>
          <w:lang w:val="en-US" w:eastAsia="zh-CN"/>
        </w:rPr>
        <w:t>（1）因环境污染需疏散、转移群众1000人以上5000人以下的；</w:t>
      </w:r>
    </w:p>
    <w:p w14:paraId="2A87FC48">
      <w:pPr>
        <w:pStyle w:val="7"/>
        <w:bidi w:val="0"/>
        <w:rPr>
          <w:rFonts w:hint="default"/>
          <w:color w:val="auto"/>
          <w:lang w:val="en-US" w:eastAsia="zh-CN"/>
        </w:rPr>
      </w:pPr>
      <w:r>
        <w:rPr>
          <w:rFonts w:hint="default"/>
          <w:color w:val="auto"/>
          <w:lang w:val="en-US" w:eastAsia="zh-CN"/>
        </w:rPr>
        <w:t>（2）因环境污染造成跨县级行政区域纠纷，引起一般性群体影响的（如群众投诉、小规模集会等）；</w:t>
      </w:r>
    </w:p>
    <w:p w14:paraId="55D31CC0">
      <w:pPr>
        <w:pStyle w:val="7"/>
        <w:bidi w:val="0"/>
        <w:rPr>
          <w:rFonts w:hint="default"/>
          <w:color w:val="auto"/>
          <w:lang w:val="en-US" w:eastAsia="zh-CN"/>
        </w:rPr>
      </w:pPr>
      <w:r>
        <w:rPr>
          <w:rFonts w:hint="default"/>
          <w:color w:val="auto"/>
          <w:lang w:val="en-US" w:eastAsia="zh-CN"/>
        </w:rPr>
        <w:t>（3）对环境造成一定的影响，尚未达到Ⅳ-A级事件级别的（如局部土壤污染、小型水体污染等）。</w:t>
      </w:r>
    </w:p>
    <w:p w14:paraId="1C782485">
      <w:pPr>
        <w:pStyle w:val="7"/>
        <w:bidi w:val="0"/>
        <w:rPr>
          <w:rFonts w:hint="default"/>
          <w:color w:val="auto"/>
          <w:lang w:val="en-US" w:eastAsia="zh-CN"/>
        </w:rPr>
      </w:pPr>
      <w:r>
        <w:rPr>
          <w:rFonts w:hint="default"/>
          <w:b/>
          <w:bCs/>
          <w:color w:val="auto"/>
          <w:lang w:val="en-US" w:eastAsia="zh-CN"/>
        </w:rPr>
        <w:t>应急处理方式：</w:t>
      </w:r>
    </w:p>
    <w:p w14:paraId="7B992FD1">
      <w:pPr>
        <w:pStyle w:val="7"/>
        <w:bidi w:val="0"/>
        <w:rPr>
          <w:rFonts w:hint="default"/>
          <w:color w:val="auto"/>
          <w:lang w:val="en-US" w:eastAsia="zh-CN"/>
        </w:rPr>
      </w:pPr>
      <w:r>
        <w:rPr>
          <w:rFonts w:hint="default"/>
          <w:color w:val="auto"/>
          <w:lang w:val="en-US" w:eastAsia="zh-CN"/>
        </w:rPr>
        <w:t>启动应急响应：额尔古纳市生态环境部门牵头启动应急响应，协调公安、交通、民政等部门成立应急工作组，在2小时内到达现场。</w:t>
      </w:r>
    </w:p>
    <w:p w14:paraId="4CF11036">
      <w:pPr>
        <w:pStyle w:val="7"/>
        <w:bidi w:val="0"/>
        <w:rPr>
          <w:rFonts w:hint="default"/>
          <w:color w:val="auto"/>
          <w:lang w:val="en-US" w:eastAsia="zh-CN"/>
        </w:rPr>
      </w:pPr>
      <w:r>
        <w:rPr>
          <w:rFonts w:hint="default"/>
          <w:color w:val="auto"/>
          <w:lang w:val="en-US" w:eastAsia="zh-CN"/>
        </w:rPr>
        <w:t>群众疏散与安置：组织疏散受影响群众，设立临时安置点，提供基本生活保障；加强治安管理，防止次生事件。</w:t>
      </w:r>
    </w:p>
    <w:p w14:paraId="600BF2F0">
      <w:pPr>
        <w:pStyle w:val="7"/>
        <w:bidi w:val="0"/>
        <w:rPr>
          <w:rFonts w:hint="default"/>
          <w:color w:val="auto"/>
          <w:lang w:val="en-US" w:eastAsia="zh-CN"/>
        </w:rPr>
      </w:pPr>
      <w:r>
        <w:rPr>
          <w:rFonts w:hint="default"/>
          <w:color w:val="auto"/>
          <w:lang w:val="en-US" w:eastAsia="zh-CN"/>
        </w:rPr>
        <w:t>跨区域协调与纠纷处理：与相邻县级行政区域沟通协调，联合调查污染源，共同处理纠纷；通过对话和信息公开安抚群众，化解群体影响。</w:t>
      </w:r>
    </w:p>
    <w:p w14:paraId="02674A26">
      <w:pPr>
        <w:pStyle w:val="7"/>
        <w:bidi w:val="0"/>
        <w:rPr>
          <w:rFonts w:hint="default"/>
          <w:color w:val="auto"/>
          <w:lang w:val="en-US" w:eastAsia="zh-CN"/>
        </w:rPr>
      </w:pPr>
      <w:r>
        <w:rPr>
          <w:rFonts w:hint="default"/>
          <w:color w:val="auto"/>
          <w:lang w:val="en-US" w:eastAsia="zh-CN"/>
        </w:rPr>
        <w:t>环境监测与修复：开展环境监测（重点监测污染扩散趋势），采取吸附、稀释等临时措施控制污染；事后制定环境修复计划，恢复生态。</w:t>
      </w:r>
    </w:p>
    <w:p w14:paraId="7BBCBEE2">
      <w:pPr>
        <w:pStyle w:val="7"/>
        <w:bidi w:val="0"/>
        <w:rPr>
          <w:rFonts w:hint="default"/>
          <w:color w:val="auto"/>
          <w:lang w:val="en-US" w:eastAsia="zh-CN"/>
        </w:rPr>
      </w:pPr>
      <w:r>
        <w:rPr>
          <w:rFonts w:hint="default"/>
          <w:color w:val="auto"/>
          <w:lang w:val="en-US" w:eastAsia="zh-CN"/>
        </w:rPr>
        <w:t>信息报告与公众沟通：在4小时内向额尔古纳市政府和上级生态环境部门报告；通过社区公告、社交媒体等发布事件进展，及时回应公众关切。</w:t>
      </w:r>
    </w:p>
    <w:p w14:paraId="71F96B69">
      <w:pPr>
        <w:pStyle w:val="7"/>
        <w:bidi w:val="0"/>
        <w:rPr>
          <w:rFonts w:hint="default"/>
          <w:color w:val="auto"/>
          <w:lang w:val="en-US" w:eastAsia="zh-CN"/>
        </w:rPr>
      </w:pPr>
      <w:r>
        <w:rPr>
          <w:rFonts w:hint="default"/>
          <w:color w:val="auto"/>
          <w:lang w:val="en-US" w:eastAsia="zh-CN"/>
        </w:rPr>
        <w:t>事后总结：事件处置后，进行总结分析，完善预防措施和应急演练。</w:t>
      </w:r>
    </w:p>
    <w:p w14:paraId="47092D34">
      <w:pPr>
        <w:pStyle w:val="5"/>
        <w:bidi w:val="0"/>
        <w:rPr>
          <w:color w:val="auto"/>
        </w:rPr>
      </w:pPr>
      <w:bookmarkStart w:id="88" w:name="_Toc89548178"/>
      <w:bookmarkStart w:id="89" w:name="_Toc89469677"/>
      <w:bookmarkStart w:id="90" w:name="_Toc275077923"/>
      <w:bookmarkStart w:id="91" w:name="_Toc13943"/>
      <w:r>
        <w:rPr>
          <w:color w:val="auto"/>
        </w:rPr>
        <w:t>突发环境事件分类</w:t>
      </w:r>
      <w:bookmarkEnd w:id="88"/>
      <w:bookmarkEnd w:id="89"/>
      <w:bookmarkEnd w:id="90"/>
      <w:bookmarkEnd w:id="91"/>
    </w:p>
    <w:p w14:paraId="796E27EE">
      <w:pPr>
        <w:pStyle w:val="7"/>
        <w:bidi w:val="0"/>
        <w:rPr>
          <w:color w:val="auto"/>
        </w:rPr>
      </w:pPr>
      <w:r>
        <w:rPr>
          <w:color w:val="auto"/>
        </w:rPr>
        <w:t>（1）危险化学品及其它有毒有害物品在生产、经营、贮存、运输、使用和处置过程中发生的爆炸、燃烧、大面积泄漏等事故造成的突发环境事件。</w:t>
      </w:r>
    </w:p>
    <w:p w14:paraId="50DF3033">
      <w:pPr>
        <w:pStyle w:val="7"/>
        <w:bidi w:val="0"/>
        <w:rPr>
          <w:color w:val="auto"/>
        </w:rPr>
      </w:pPr>
      <w:r>
        <w:rPr>
          <w:color w:val="auto"/>
        </w:rPr>
        <w:t>（2）工业生产过程中，因生产装置、污染物防治设施、设备等发生意外事故造成的突发环境事件。</w:t>
      </w:r>
    </w:p>
    <w:p w14:paraId="2AC919A8">
      <w:pPr>
        <w:pStyle w:val="7"/>
        <w:bidi w:val="0"/>
        <w:rPr>
          <w:color w:val="auto"/>
        </w:rPr>
      </w:pPr>
      <w:r>
        <w:rPr>
          <w:color w:val="auto"/>
        </w:rPr>
        <w:t>（3）因自然灾害造成的次生突发环境事件。</w:t>
      </w:r>
    </w:p>
    <w:p w14:paraId="78015B97">
      <w:pPr>
        <w:pStyle w:val="7"/>
        <w:bidi w:val="0"/>
        <w:rPr>
          <w:color w:val="auto"/>
        </w:rPr>
      </w:pPr>
      <w:r>
        <w:rPr>
          <w:color w:val="auto"/>
        </w:rPr>
        <w:t>（4）影响饮用水源地水质的突发环境事件。</w:t>
      </w:r>
    </w:p>
    <w:p w14:paraId="7F647592">
      <w:pPr>
        <w:pStyle w:val="7"/>
        <w:bidi w:val="0"/>
        <w:rPr>
          <w:color w:val="auto"/>
        </w:rPr>
      </w:pPr>
      <w:r>
        <w:rPr>
          <w:color w:val="auto"/>
        </w:rPr>
        <w:t>（5）辐射污染或安全方面的突发环境事件。</w:t>
      </w:r>
    </w:p>
    <w:p w14:paraId="78D69284">
      <w:pPr>
        <w:pStyle w:val="7"/>
        <w:bidi w:val="0"/>
        <w:rPr>
          <w:color w:val="auto"/>
        </w:rPr>
      </w:pPr>
      <w:r>
        <w:rPr>
          <w:color w:val="auto"/>
        </w:rPr>
        <w:t>（6）其它危及群众生命财产和环境安全的突发环境事件。</w:t>
      </w:r>
      <w:bookmarkStart w:id="92" w:name="_Toc1849843517"/>
      <w:bookmarkStart w:id="93" w:name="_Toc89469678"/>
      <w:bookmarkStart w:id="94" w:name="_Toc89548179"/>
    </w:p>
    <w:p w14:paraId="282CD72E">
      <w:pPr>
        <w:pStyle w:val="4"/>
        <w:bidi w:val="0"/>
        <w:rPr>
          <w:rFonts w:hint="eastAsia"/>
          <w:color w:val="auto"/>
        </w:rPr>
      </w:pPr>
      <w:bookmarkStart w:id="95" w:name="_Toc27455"/>
      <w:r>
        <w:rPr>
          <w:rFonts w:hint="eastAsia"/>
          <w:color w:val="auto"/>
        </w:rPr>
        <w:t>组织体系和职责</w:t>
      </w:r>
      <w:bookmarkEnd w:id="92"/>
      <w:bookmarkEnd w:id="93"/>
      <w:bookmarkEnd w:id="94"/>
      <w:bookmarkEnd w:id="95"/>
    </w:p>
    <w:p w14:paraId="27A73D54">
      <w:pPr>
        <w:pStyle w:val="5"/>
        <w:bidi w:val="0"/>
        <w:rPr>
          <w:color w:val="auto"/>
        </w:rPr>
      </w:pPr>
      <w:bookmarkStart w:id="96" w:name="_Toc398733578"/>
      <w:bookmarkStart w:id="97" w:name="_Toc89548180"/>
      <w:bookmarkStart w:id="98" w:name="_Toc20641"/>
      <w:bookmarkStart w:id="99" w:name="_Toc89469679"/>
      <w:bookmarkStart w:id="100" w:name="_Toc1199232600"/>
      <w:r>
        <w:rPr>
          <w:color w:val="auto"/>
        </w:rPr>
        <w:t>应急</w:t>
      </w:r>
      <w:bookmarkEnd w:id="96"/>
      <w:r>
        <w:rPr>
          <w:color w:val="auto"/>
        </w:rPr>
        <w:t>救援组织机构设置</w:t>
      </w:r>
      <w:bookmarkEnd w:id="97"/>
      <w:bookmarkEnd w:id="98"/>
      <w:bookmarkEnd w:id="99"/>
      <w:bookmarkEnd w:id="100"/>
    </w:p>
    <w:p w14:paraId="1D94ABD3">
      <w:pPr>
        <w:pStyle w:val="7"/>
        <w:bidi w:val="0"/>
        <w:rPr>
          <w:rFonts w:hint="eastAsia"/>
          <w:color w:val="auto"/>
        </w:rPr>
      </w:pPr>
      <w:r>
        <w:rPr>
          <w:color w:val="auto"/>
        </w:rPr>
        <w:t>为加强突发环境事件的应急救援工作的管理，</w:t>
      </w:r>
      <w:r>
        <w:rPr>
          <w:rFonts w:hint="eastAsia"/>
          <w:color w:val="auto"/>
        </w:rPr>
        <w:t>额尔古纳市</w:t>
      </w:r>
      <w:r>
        <w:rPr>
          <w:color w:val="auto"/>
        </w:rPr>
        <w:t>人民政府成立了应急指挥部并下设应急办公室，集中组织开展环境污染事件的应急处置与抢险救援工作。</w:t>
      </w:r>
      <w:r>
        <w:rPr>
          <w:rFonts w:hint="eastAsia"/>
          <w:color w:val="auto"/>
        </w:rPr>
        <w:t>额尔古纳市</w:t>
      </w:r>
      <w:r>
        <w:rPr>
          <w:color w:val="auto"/>
        </w:rPr>
        <w:t>突发环境事件应急指挥部是市突发环境事件应急管理工作的最高领导机构，是应对突发事件的责任主体，对管辖范围内的各类突发环境事件负有直接指挥权和处置权。按照指挥权力大小，本</w:t>
      </w:r>
      <w:r>
        <w:rPr>
          <w:rFonts w:hint="eastAsia"/>
          <w:color w:val="auto"/>
        </w:rPr>
        <w:t>突发环境事件</w:t>
      </w:r>
      <w:r>
        <w:rPr>
          <w:color w:val="auto"/>
        </w:rPr>
        <w:t>应急预案分为</w:t>
      </w:r>
      <w:r>
        <w:rPr>
          <w:rFonts w:hint="eastAsia"/>
          <w:color w:val="auto"/>
        </w:rPr>
        <w:t>额尔古纳市</w:t>
      </w:r>
      <w:r>
        <w:rPr>
          <w:color w:val="auto"/>
        </w:rPr>
        <w:t>级、乡镇/街道级和企业级现场指挥三个级别。</w:t>
      </w:r>
      <w:r>
        <w:rPr>
          <w:rFonts w:hint="eastAsia"/>
          <w:color w:val="auto"/>
        </w:rPr>
        <w:t>本预案即《额尔古纳市突发环境事件应急预案》启动后，</w:t>
      </w:r>
      <w:r>
        <w:rPr>
          <w:color w:val="auto"/>
        </w:rPr>
        <w:t>由</w:t>
      </w:r>
      <w:r>
        <w:rPr>
          <w:rFonts w:hint="eastAsia"/>
          <w:color w:val="auto"/>
        </w:rPr>
        <w:t>额尔古纳市</w:t>
      </w:r>
      <w:r>
        <w:rPr>
          <w:color w:val="auto"/>
        </w:rPr>
        <w:t>级层面指挥机构总负责，乡镇/街道和企业现场指挥机构协助</w:t>
      </w:r>
      <w:r>
        <w:rPr>
          <w:rFonts w:hint="eastAsia"/>
          <w:color w:val="auto"/>
        </w:rPr>
        <w:t>额尔古纳市</w:t>
      </w:r>
      <w:r>
        <w:rPr>
          <w:color w:val="auto"/>
        </w:rPr>
        <w:t>指挥机构共同协调处理突发环境应急事件。</w:t>
      </w:r>
      <w:r>
        <w:rPr>
          <w:rFonts w:hint="eastAsia"/>
          <w:color w:val="auto"/>
        </w:rPr>
        <w:t>事件发生，但未达到启动本预案的条件时，由企业应急指挥机构负责事故现场的处置工作。</w:t>
      </w:r>
    </w:p>
    <w:p w14:paraId="10CB2C44">
      <w:pPr>
        <w:pStyle w:val="7"/>
        <w:bidi w:val="0"/>
        <w:rPr>
          <w:rFonts w:hint="eastAsia"/>
          <w:color w:val="auto"/>
        </w:rPr>
      </w:pPr>
      <w:r>
        <w:rPr>
          <w:rFonts w:hint="eastAsia"/>
          <w:color w:val="auto"/>
        </w:rPr>
        <w:t>额尔古纳市</w:t>
      </w:r>
      <w:r>
        <w:rPr>
          <w:color w:val="auto"/>
        </w:rPr>
        <w:t>级层面具体应急救援和处理、处置工作主要依托应急专家组、综合协调组、现场处置组、应急监测组、应急保障组、医疗救护组、社会稳定组和舆情组实施，与应急指挥部、应急办公室共同构成</w:t>
      </w:r>
      <w:r>
        <w:rPr>
          <w:rFonts w:hint="eastAsia"/>
          <w:color w:val="auto"/>
        </w:rPr>
        <w:t>额尔古纳市</w:t>
      </w:r>
      <w:r>
        <w:rPr>
          <w:color w:val="auto"/>
        </w:rPr>
        <w:t>应急救援组织体系。</w:t>
      </w:r>
      <w:r>
        <w:rPr>
          <w:rFonts w:hint="eastAsia"/>
          <w:color w:val="auto"/>
        </w:rPr>
        <w:t>额尔古纳市</w:t>
      </w:r>
      <w:r>
        <w:rPr>
          <w:color w:val="auto"/>
        </w:rPr>
        <w:t>应急救援组织体系结构见图2-1。</w:t>
      </w:r>
      <w:r>
        <w:rPr>
          <w:rFonts w:hint="eastAsia"/>
          <w:color w:val="auto"/>
        </w:rPr>
        <w:t>额尔古纳市</w:t>
      </w:r>
      <w:r>
        <w:rPr>
          <w:color w:val="auto"/>
        </w:rPr>
        <w:t>应急救援组织</w:t>
      </w:r>
      <w:r>
        <w:rPr>
          <w:rFonts w:hint="eastAsia"/>
          <w:color w:val="auto"/>
        </w:rPr>
        <w:t>岗位、</w:t>
      </w:r>
      <w:r>
        <w:rPr>
          <w:color w:val="auto"/>
        </w:rPr>
        <w:t>成员</w:t>
      </w:r>
      <w:r>
        <w:rPr>
          <w:rFonts w:hint="eastAsia"/>
          <w:color w:val="auto"/>
        </w:rPr>
        <w:t>及</w:t>
      </w:r>
      <w:r>
        <w:rPr>
          <w:color w:val="auto"/>
        </w:rPr>
        <w:t>联系方式见表2-1。</w:t>
      </w:r>
      <w:r>
        <w:rPr>
          <w:rFonts w:hint="eastAsia"/>
          <w:color w:val="auto"/>
        </w:rPr>
        <w:t>若人员发生变动，由其岗位接任者履行响应的应急职责。</w:t>
      </w:r>
    </w:p>
    <w:p w14:paraId="49EA1280">
      <w:pPr>
        <w:adjustRightInd w:val="0"/>
        <w:snapToGrid w:val="0"/>
        <w:spacing w:line="360" w:lineRule="auto"/>
        <w:ind w:left="0"/>
        <w:rPr>
          <w:rFonts w:eastAsia="仿宋"/>
          <w:color w:val="auto"/>
        </w:rPr>
      </w:pPr>
      <w:r>
        <w:rPr>
          <w:color w:val="auto"/>
        </w:rPr>
        <w:drawing>
          <wp:inline distT="0" distB="0" distL="114300" distR="114300">
            <wp:extent cx="5274945" cy="2399665"/>
            <wp:effectExtent l="0" t="0" r="190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5274945" cy="2399665"/>
                    </a:xfrm>
                    <a:prstGeom prst="rect">
                      <a:avLst/>
                    </a:prstGeom>
                    <a:noFill/>
                    <a:ln>
                      <a:noFill/>
                    </a:ln>
                  </pic:spPr>
                </pic:pic>
              </a:graphicData>
            </a:graphic>
          </wp:inline>
        </w:drawing>
      </w:r>
    </w:p>
    <w:p w14:paraId="0E047519">
      <w:pPr>
        <w:adjustRightInd w:val="0"/>
        <w:snapToGrid w:val="0"/>
        <w:spacing w:line="360" w:lineRule="auto"/>
        <w:ind w:left="0"/>
        <w:jc w:val="center"/>
        <w:rPr>
          <w:rFonts w:eastAsia="仿宋"/>
          <w:b/>
          <w:color w:val="auto"/>
          <w:sz w:val="24"/>
          <w:szCs w:val="24"/>
        </w:rPr>
      </w:pPr>
      <w:r>
        <w:rPr>
          <w:rFonts w:eastAsia="仿宋"/>
          <w:b/>
          <w:color w:val="auto"/>
          <w:sz w:val="24"/>
          <w:szCs w:val="24"/>
        </w:rPr>
        <w:t>图2-1</w:t>
      </w:r>
      <w:r>
        <w:rPr>
          <w:rFonts w:hint="eastAsia" w:eastAsia="仿宋"/>
          <w:b/>
          <w:color w:val="auto"/>
          <w:sz w:val="24"/>
          <w:szCs w:val="24"/>
        </w:rPr>
        <w:t>额尔古纳市</w:t>
      </w:r>
      <w:r>
        <w:rPr>
          <w:rFonts w:eastAsia="仿宋"/>
          <w:b/>
          <w:color w:val="auto"/>
          <w:sz w:val="24"/>
          <w:szCs w:val="24"/>
        </w:rPr>
        <w:t>应急救援组织体系结构</w:t>
      </w:r>
    </w:p>
    <w:p w14:paraId="12D99889">
      <w:pPr>
        <w:adjustRightInd w:val="0"/>
        <w:snapToGrid w:val="0"/>
        <w:spacing w:line="360" w:lineRule="auto"/>
        <w:ind w:left="0"/>
        <w:jc w:val="center"/>
        <w:rPr>
          <w:rFonts w:hint="eastAsia" w:eastAsia="仿宋"/>
          <w:b/>
          <w:color w:val="auto"/>
          <w:sz w:val="24"/>
          <w:szCs w:val="24"/>
        </w:rPr>
      </w:pPr>
      <w:r>
        <w:rPr>
          <w:rFonts w:eastAsia="仿宋"/>
          <w:b/>
          <w:color w:val="auto"/>
          <w:sz w:val="24"/>
          <w:szCs w:val="24"/>
        </w:rPr>
        <w:t>表2-1</w:t>
      </w:r>
      <w:r>
        <w:rPr>
          <w:rFonts w:hint="eastAsia" w:eastAsia="仿宋"/>
          <w:b/>
          <w:color w:val="auto"/>
          <w:sz w:val="24"/>
          <w:szCs w:val="24"/>
        </w:rPr>
        <w:t>额尔古纳市</w:t>
      </w:r>
      <w:r>
        <w:rPr>
          <w:rFonts w:eastAsia="仿宋"/>
          <w:b/>
          <w:color w:val="auto"/>
          <w:sz w:val="24"/>
          <w:szCs w:val="24"/>
        </w:rPr>
        <w:t>突发环境事件应急救援组织机构成员及联系方式</w:t>
      </w:r>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23"/>
        <w:gridCol w:w="987"/>
        <w:gridCol w:w="1903"/>
        <w:gridCol w:w="1468"/>
        <w:gridCol w:w="1049"/>
        <w:gridCol w:w="1897"/>
      </w:tblGrid>
      <w:tr w14:paraId="728487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noWrap w:val="0"/>
            <w:vAlign w:val="center"/>
          </w:tcPr>
          <w:p w14:paraId="0E0B0AD5">
            <w:pPr>
              <w:pStyle w:val="29"/>
              <w:bidi w:val="0"/>
              <w:rPr>
                <w:color w:val="auto"/>
              </w:rPr>
            </w:pPr>
            <w:r>
              <w:rPr>
                <w:color w:val="auto"/>
              </w:rPr>
              <w:t>应急救援机构</w:t>
            </w:r>
          </w:p>
        </w:tc>
        <w:tc>
          <w:tcPr>
            <w:tcW w:w="1011" w:type="dxa"/>
            <w:noWrap w:val="0"/>
            <w:vAlign w:val="center"/>
          </w:tcPr>
          <w:p w14:paraId="22224054">
            <w:pPr>
              <w:pStyle w:val="29"/>
              <w:bidi w:val="0"/>
              <w:rPr>
                <w:color w:val="auto"/>
              </w:rPr>
            </w:pPr>
            <w:r>
              <w:rPr>
                <w:color w:val="auto"/>
              </w:rPr>
              <w:t>应急组织岗位</w:t>
            </w:r>
          </w:p>
        </w:tc>
        <w:tc>
          <w:tcPr>
            <w:tcW w:w="1970" w:type="dxa"/>
            <w:noWrap w:val="0"/>
            <w:vAlign w:val="center"/>
          </w:tcPr>
          <w:p w14:paraId="7AF3AE0C">
            <w:pPr>
              <w:pStyle w:val="29"/>
              <w:bidi w:val="0"/>
              <w:rPr>
                <w:color w:val="auto"/>
              </w:rPr>
            </w:pPr>
            <w:r>
              <w:rPr>
                <w:color w:val="auto"/>
              </w:rPr>
              <w:t>成员单位</w:t>
            </w:r>
          </w:p>
        </w:tc>
        <w:tc>
          <w:tcPr>
            <w:tcW w:w="1515" w:type="dxa"/>
            <w:noWrap w:val="0"/>
            <w:vAlign w:val="center"/>
          </w:tcPr>
          <w:p w14:paraId="760A9465">
            <w:pPr>
              <w:pStyle w:val="29"/>
              <w:bidi w:val="0"/>
              <w:rPr>
                <w:color w:val="auto"/>
              </w:rPr>
            </w:pPr>
            <w:r>
              <w:rPr>
                <w:color w:val="auto"/>
              </w:rPr>
              <w:t>职务</w:t>
            </w:r>
          </w:p>
        </w:tc>
        <w:tc>
          <w:tcPr>
            <w:tcW w:w="1076" w:type="dxa"/>
            <w:noWrap w:val="0"/>
            <w:vAlign w:val="center"/>
          </w:tcPr>
          <w:p w14:paraId="5D79D4C4">
            <w:pPr>
              <w:pStyle w:val="29"/>
              <w:bidi w:val="0"/>
              <w:rPr>
                <w:color w:val="auto"/>
              </w:rPr>
            </w:pPr>
            <w:r>
              <w:rPr>
                <w:color w:val="auto"/>
              </w:rPr>
              <w:t>姓名</w:t>
            </w:r>
          </w:p>
        </w:tc>
        <w:tc>
          <w:tcPr>
            <w:tcW w:w="1691" w:type="dxa"/>
            <w:noWrap w:val="0"/>
            <w:vAlign w:val="center"/>
          </w:tcPr>
          <w:p w14:paraId="5F7689C1">
            <w:pPr>
              <w:pStyle w:val="29"/>
              <w:bidi w:val="0"/>
              <w:rPr>
                <w:color w:val="auto"/>
              </w:rPr>
            </w:pPr>
            <w:r>
              <w:rPr>
                <w:color w:val="auto"/>
              </w:rPr>
              <w:t>紧急联络方式</w:t>
            </w:r>
          </w:p>
        </w:tc>
      </w:tr>
      <w:tr w14:paraId="7EB90F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0D71DE3A">
            <w:pPr>
              <w:pStyle w:val="29"/>
              <w:bidi w:val="0"/>
              <w:rPr>
                <w:color w:val="auto"/>
              </w:rPr>
            </w:pPr>
            <w:r>
              <w:rPr>
                <w:color w:val="auto"/>
              </w:rPr>
              <w:t>应急指挥部</w:t>
            </w:r>
          </w:p>
        </w:tc>
        <w:tc>
          <w:tcPr>
            <w:tcW w:w="1011" w:type="dxa"/>
            <w:noWrap w:val="0"/>
            <w:vAlign w:val="center"/>
          </w:tcPr>
          <w:p w14:paraId="2B763DE8">
            <w:pPr>
              <w:pStyle w:val="29"/>
              <w:bidi w:val="0"/>
              <w:rPr>
                <w:color w:val="auto"/>
              </w:rPr>
            </w:pPr>
            <w:r>
              <w:rPr>
                <w:color w:val="auto"/>
              </w:rPr>
              <w:t>总指挥</w:t>
            </w:r>
          </w:p>
        </w:tc>
        <w:tc>
          <w:tcPr>
            <w:tcW w:w="1970" w:type="dxa"/>
            <w:vMerge w:val="restart"/>
            <w:noWrap w:val="0"/>
            <w:vAlign w:val="center"/>
          </w:tcPr>
          <w:p w14:paraId="5ED95C14">
            <w:pPr>
              <w:pStyle w:val="29"/>
              <w:bidi w:val="0"/>
              <w:rPr>
                <w:color w:val="auto"/>
              </w:rPr>
            </w:pPr>
            <w:r>
              <w:rPr>
                <w:color w:val="auto"/>
              </w:rPr>
              <w:t>人民政府</w:t>
            </w:r>
          </w:p>
        </w:tc>
        <w:tc>
          <w:tcPr>
            <w:tcW w:w="1515" w:type="dxa"/>
            <w:noWrap w:val="0"/>
            <w:vAlign w:val="center"/>
          </w:tcPr>
          <w:p w14:paraId="3BECE309">
            <w:pPr>
              <w:pStyle w:val="29"/>
              <w:bidi w:val="0"/>
              <w:rPr>
                <w:color w:val="auto"/>
              </w:rPr>
            </w:pPr>
            <w:r>
              <w:rPr>
                <w:color w:val="auto"/>
              </w:rPr>
              <w:t>市长</w:t>
            </w:r>
          </w:p>
        </w:tc>
        <w:tc>
          <w:tcPr>
            <w:tcW w:w="1076" w:type="dxa"/>
            <w:noWrap w:val="0"/>
            <w:vAlign w:val="center"/>
          </w:tcPr>
          <w:p w14:paraId="3F13D51C">
            <w:pPr>
              <w:pStyle w:val="29"/>
              <w:bidi w:val="0"/>
              <w:rPr>
                <w:rFonts w:hint="eastAsia"/>
                <w:color w:val="auto"/>
                <w:lang w:eastAsia="zh-CN"/>
              </w:rPr>
            </w:pPr>
            <w:r>
              <w:rPr>
                <w:rFonts w:hint="eastAsia"/>
                <w:color w:val="auto"/>
                <w:lang w:eastAsia="zh-CN"/>
              </w:rPr>
              <w:t>耿浩</w:t>
            </w:r>
          </w:p>
        </w:tc>
        <w:tc>
          <w:tcPr>
            <w:tcW w:w="1691" w:type="dxa"/>
            <w:noWrap w:val="0"/>
            <w:vAlign w:val="center"/>
          </w:tcPr>
          <w:p w14:paraId="03345F6A">
            <w:pPr>
              <w:pStyle w:val="29"/>
              <w:bidi w:val="0"/>
              <w:rPr>
                <w:color w:val="auto"/>
              </w:rPr>
            </w:pPr>
            <w:r>
              <w:rPr>
                <w:rFonts w:hint="eastAsia"/>
                <w:color w:val="auto"/>
              </w:rPr>
              <w:t>13904703886</w:t>
            </w:r>
          </w:p>
        </w:tc>
      </w:tr>
      <w:tr w14:paraId="04C174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79B179DF">
            <w:pPr>
              <w:pStyle w:val="29"/>
              <w:bidi w:val="0"/>
              <w:rPr>
                <w:color w:val="auto"/>
              </w:rPr>
            </w:pPr>
          </w:p>
        </w:tc>
        <w:tc>
          <w:tcPr>
            <w:tcW w:w="1011" w:type="dxa"/>
            <w:noWrap w:val="0"/>
            <w:vAlign w:val="center"/>
          </w:tcPr>
          <w:p w14:paraId="2390FCD2">
            <w:pPr>
              <w:pStyle w:val="29"/>
              <w:bidi w:val="0"/>
              <w:rPr>
                <w:color w:val="auto"/>
              </w:rPr>
            </w:pPr>
            <w:r>
              <w:rPr>
                <w:color w:val="auto"/>
              </w:rPr>
              <w:t>副总指挥</w:t>
            </w:r>
          </w:p>
        </w:tc>
        <w:tc>
          <w:tcPr>
            <w:tcW w:w="1970" w:type="dxa"/>
            <w:vMerge w:val="continue"/>
            <w:noWrap w:val="0"/>
            <w:vAlign w:val="center"/>
          </w:tcPr>
          <w:p w14:paraId="406A0235">
            <w:pPr>
              <w:pStyle w:val="29"/>
              <w:bidi w:val="0"/>
              <w:rPr>
                <w:color w:val="auto"/>
              </w:rPr>
            </w:pPr>
          </w:p>
        </w:tc>
        <w:tc>
          <w:tcPr>
            <w:tcW w:w="1515" w:type="dxa"/>
            <w:noWrap w:val="0"/>
            <w:vAlign w:val="center"/>
          </w:tcPr>
          <w:p w14:paraId="4AD90F88">
            <w:pPr>
              <w:pStyle w:val="29"/>
              <w:bidi w:val="0"/>
              <w:rPr>
                <w:color w:val="auto"/>
              </w:rPr>
            </w:pPr>
            <w:r>
              <w:rPr>
                <w:color w:val="auto"/>
              </w:rPr>
              <w:t>副市长</w:t>
            </w:r>
          </w:p>
        </w:tc>
        <w:tc>
          <w:tcPr>
            <w:tcW w:w="1076" w:type="dxa"/>
            <w:noWrap w:val="0"/>
            <w:vAlign w:val="center"/>
          </w:tcPr>
          <w:p w14:paraId="3E4242F7">
            <w:pPr>
              <w:pStyle w:val="29"/>
              <w:bidi w:val="0"/>
              <w:rPr>
                <w:rFonts w:hint="eastAsia"/>
                <w:color w:val="auto"/>
                <w:lang w:eastAsia="zh-CN"/>
              </w:rPr>
            </w:pPr>
            <w:r>
              <w:rPr>
                <w:rFonts w:hint="eastAsia"/>
                <w:color w:val="auto"/>
                <w:lang w:eastAsia="zh-CN"/>
              </w:rPr>
              <w:t>张松波</w:t>
            </w:r>
          </w:p>
        </w:tc>
        <w:tc>
          <w:tcPr>
            <w:tcW w:w="1691" w:type="dxa"/>
            <w:noWrap w:val="0"/>
            <w:vAlign w:val="center"/>
          </w:tcPr>
          <w:p w14:paraId="6289BD99">
            <w:pPr>
              <w:pStyle w:val="29"/>
              <w:bidi w:val="0"/>
              <w:rPr>
                <w:color w:val="auto"/>
              </w:rPr>
            </w:pPr>
            <w:r>
              <w:rPr>
                <w:rFonts w:hint="eastAsia"/>
                <w:color w:val="auto"/>
              </w:rPr>
              <w:t>13754103322</w:t>
            </w:r>
          </w:p>
        </w:tc>
      </w:tr>
      <w:tr w14:paraId="68B33E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126FEADF">
            <w:pPr>
              <w:pStyle w:val="29"/>
              <w:bidi w:val="0"/>
              <w:rPr>
                <w:color w:val="auto"/>
              </w:rPr>
            </w:pPr>
            <w:r>
              <w:rPr>
                <w:color w:val="auto"/>
              </w:rPr>
              <w:t>应急办公室</w:t>
            </w:r>
          </w:p>
        </w:tc>
        <w:tc>
          <w:tcPr>
            <w:tcW w:w="1011" w:type="dxa"/>
            <w:noWrap w:val="0"/>
            <w:vAlign w:val="center"/>
          </w:tcPr>
          <w:p w14:paraId="088CE516">
            <w:pPr>
              <w:pStyle w:val="29"/>
              <w:bidi w:val="0"/>
              <w:rPr>
                <w:color w:val="auto"/>
              </w:rPr>
            </w:pPr>
            <w:r>
              <w:rPr>
                <w:color w:val="auto"/>
              </w:rPr>
              <w:t>主任</w:t>
            </w:r>
          </w:p>
        </w:tc>
        <w:tc>
          <w:tcPr>
            <w:tcW w:w="1970" w:type="dxa"/>
            <w:noWrap w:val="0"/>
            <w:vAlign w:val="center"/>
          </w:tcPr>
          <w:p w14:paraId="5185BA8D">
            <w:pPr>
              <w:pStyle w:val="29"/>
              <w:bidi w:val="0"/>
              <w:rPr>
                <w:color w:val="auto"/>
              </w:rPr>
            </w:pPr>
            <w:r>
              <w:rPr>
                <w:color w:val="auto"/>
              </w:rPr>
              <w:t>人民政府</w:t>
            </w:r>
          </w:p>
        </w:tc>
        <w:tc>
          <w:tcPr>
            <w:tcW w:w="1515" w:type="dxa"/>
            <w:noWrap w:val="0"/>
            <w:vAlign w:val="center"/>
          </w:tcPr>
          <w:p w14:paraId="3FCE3A63">
            <w:pPr>
              <w:pStyle w:val="29"/>
              <w:bidi w:val="0"/>
              <w:rPr>
                <w:color w:val="auto"/>
              </w:rPr>
            </w:pPr>
            <w:r>
              <w:rPr>
                <w:color w:val="auto"/>
              </w:rPr>
              <w:t>办公室主任</w:t>
            </w:r>
          </w:p>
        </w:tc>
        <w:tc>
          <w:tcPr>
            <w:tcW w:w="1076" w:type="dxa"/>
            <w:noWrap w:val="0"/>
            <w:vAlign w:val="center"/>
          </w:tcPr>
          <w:p w14:paraId="391554FA">
            <w:pPr>
              <w:pStyle w:val="29"/>
              <w:bidi w:val="0"/>
              <w:rPr>
                <w:rFonts w:hint="eastAsia"/>
                <w:color w:val="auto"/>
                <w:lang w:eastAsia="zh-CN"/>
              </w:rPr>
            </w:pPr>
            <w:r>
              <w:rPr>
                <w:rFonts w:hint="eastAsia"/>
                <w:color w:val="auto"/>
                <w:lang w:eastAsia="zh-CN"/>
              </w:rPr>
              <w:t>胥继良</w:t>
            </w:r>
          </w:p>
        </w:tc>
        <w:tc>
          <w:tcPr>
            <w:tcW w:w="1691" w:type="dxa"/>
            <w:noWrap w:val="0"/>
            <w:vAlign w:val="center"/>
          </w:tcPr>
          <w:p w14:paraId="51B9510C">
            <w:pPr>
              <w:pStyle w:val="29"/>
              <w:bidi w:val="0"/>
              <w:rPr>
                <w:rFonts w:hint="default"/>
                <w:color w:val="auto"/>
                <w:lang w:val="en-US" w:eastAsia="zh-CN"/>
              </w:rPr>
            </w:pPr>
            <w:r>
              <w:rPr>
                <w:rFonts w:hint="eastAsia"/>
                <w:color w:val="auto"/>
                <w:lang w:val="en-US" w:eastAsia="zh-CN"/>
              </w:rPr>
              <w:t>--</w:t>
            </w:r>
          </w:p>
        </w:tc>
      </w:tr>
      <w:tr w14:paraId="1B6507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9" w:type="dxa"/>
            <w:vMerge w:val="continue"/>
            <w:noWrap w:val="0"/>
            <w:vAlign w:val="center"/>
          </w:tcPr>
          <w:p w14:paraId="109E2355">
            <w:pPr>
              <w:pStyle w:val="29"/>
              <w:bidi w:val="0"/>
              <w:rPr>
                <w:color w:val="auto"/>
              </w:rPr>
            </w:pPr>
          </w:p>
        </w:tc>
        <w:tc>
          <w:tcPr>
            <w:tcW w:w="1011" w:type="dxa"/>
            <w:noWrap w:val="0"/>
            <w:vAlign w:val="center"/>
          </w:tcPr>
          <w:p w14:paraId="78CA36F3">
            <w:pPr>
              <w:pStyle w:val="29"/>
              <w:bidi w:val="0"/>
              <w:rPr>
                <w:color w:val="auto"/>
              </w:rPr>
            </w:pPr>
            <w:r>
              <w:rPr>
                <w:color w:val="auto"/>
              </w:rPr>
              <w:t>成员</w:t>
            </w:r>
          </w:p>
        </w:tc>
        <w:tc>
          <w:tcPr>
            <w:tcW w:w="1970" w:type="dxa"/>
            <w:noWrap w:val="0"/>
            <w:vAlign w:val="center"/>
          </w:tcPr>
          <w:p w14:paraId="475442C9">
            <w:pPr>
              <w:pStyle w:val="29"/>
              <w:bidi w:val="0"/>
              <w:rPr>
                <w:color w:val="auto"/>
              </w:rPr>
            </w:pPr>
            <w:r>
              <w:rPr>
                <w:color w:val="auto"/>
              </w:rPr>
              <w:t>生态环境综合行政执法大队</w:t>
            </w:r>
          </w:p>
        </w:tc>
        <w:tc>
          <w:tcPr>
            <w:tcW w:w="1515" w:type="dxa"/>
            <w:noWrap w:val="0"/>
            <w:vAlign w:val="center"/>
          </w:tcPr>
          <w:p w14:paraId="79734D2D">
            <w:pPr>
              <w:pStyle w:val="29"/>
              <w:bidi w:val="0"/>
              <w:rPr>
                <w:color w:val="auto"/>
              </w:rPr>
            </w:pPr>
            <w:r>
              <w:rPr>
                <w:rFonts w:hint="eastAsia"/>
                <w:color w:val="auto"/>
              </w:rPr>
              <w:t>大队长</w:t>
            </w:r>
          </w:p>
        </w:tc>
        <w:tc>
          <w:tcPr>
            <w:tcW w:w="1076" w:type="dxa"/>
            <w:noWrap w:val="0"/>
            <w:vAlign w:val="center"/>
          </w:tcPr>
          <w:p w14:paraId="19AAA5C3">
            <w:pPr>
              <w:pStyle w:val="29"/>
              <w:bidi w:val="0"/>
              <w:rPr>
                <w:rFonts w:hint="eastAsia"/>
                <w:color w:val="auto"/>
                <w:lang w:eastAsia="zh-CN"/>
              </w:rPr>
            </w:pPr>
            <w:r>
              <w:rPr>
                <w:rFonts w:hint="eastAsia"/>
                <w:color w:val="auto"/>
                <w:lang w:eastAsia="zh-CN"/>
              </w:rPr>
              <w:t>于洪刚</w:t>
            </w:r>
          </w:p>
        </w:tc>
        <w:tc>
          <w:tcPr>
            <w:tcW w:w="1691" w:type="dxa"/>
            <w:noWrap w:val="0"/>
            <w:vAlign w:val="center"/>
          </w:tcPr>
          <w:p w14:paraId="39E7C85C">
            <w:pPr>
              <w:pStyle w:val="29"/>
              <w:bidi w:val="0"/>
              <w:rPr>
                <w:rFonts w:hint="default"/>
                <w:color w:val="auto"/>
                <w:lang w:val="en-US" w:eastAsia="zh-CN"/>
              </w:rPr>
            </w:pPr>
            <w:r>
              <w:rPr>
                <w:rFonts w:hint="eastAsia"/>
                <w:color w:val="auto"/>
                <w:lang w:val="en-US" w:eastAsia="zh-CN"/>
              </w:rPr>
              <w:t>--</w:t>
            </w:r>
          </w:p>
        </w:tc>
      </w:tr>
      <w:tr w14:paraId="0B600E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6B9A733B">
            <w:pPr>
              <w:pStyle w:val="29"/>
              <w:bidi w:val="0"/>
              <w:rPr>
                <w:color w:val="auto"/>
                <w:highlight w:val="none"/>
              </w:rPr>
            </w:pPr>
            <w:r>
              <w:rPr>
                <w:color w:val="auto"/>
                <w:highlight w:val="none"/>
              </w:rPr>
              <w:t>应急专家组</w:t>
            </w:r>
          </w:p>
        </w:tc>
        <w:tc>
          <w:tcPr>
            <w:tcW w:w="1011" w:type="dxa"/>
            <w:noWrap w:val="0"/>
            <w:vAlign w:val="center"/>
          </w:tcPr>
          <w:p w14:paraId="54E012A1">
            <w:pPr>
              <w:pStyle w:val="29"/>
              <w:bidi w:val="0"/>
              <w:rPr>
                <w:color w:val="auto"/>
                <w:highlight w:val="none"/>
              </w:rPr>
            </w:pPr>
            <w:r>
              <w:rPr>
                <w:color w:val="auto"/>
                <w:highlight w:val="none"/>
              </w:rPr>
              <w:t>组长</w:t>
            </w:r>
          </w:p>
        </w:tc>
        <w:tc>
          <w:tcPr>
            <w:tcW w:w="1970" w:type="dxa"/>
            <w:noWrap w:val="0"/>
            <w:vAlign w:val="center"/>
          </w:tcPr>
          <w:p w14:paraId="12704A58">
            <w:pPr>
              <w:pStyle w:val="29"/>
              <w:bidi w:val="0"/>
              <w:rPr>
                <w:color w:val="auto"/>
                <w:highlight w:val="none"/>
              </w:rPr>
            </w:pPr>
            <w:r>
              <w:rPr>
                <w:rFonts w:hint="eastAsia"/>
                <w:color w:val="auto"/>
                <w:highlight w:val="none"/>
              </w:rPr>
              <w:t>生态环境分局</w:t>
            </w:r>
          </w:p>
        </w:tc>
        <w:tc>
          <w:tcPr>
            <w:tcW w:w="1515" w:type="dxa"/>
            <w:noWrap w:val="0"/>
            <w:vAlign w:val="center"/>
          </w:tcPr>
          <w:p w14:paraId="7F2A7698">
            <w:pPr>
              <w:pStyle w:val="29"/>
              <w:bidi w:val="0"/>
              <w:rPr>
                <w:color w:val="auto"/>
                <w:highlight w:val="none"/>
              </w:rPr>
            </w:pPr>
            <w:r>
              <w:rPr>
                <w:rFonts w:hint="eastAsia"/>
                <w:color w:val="auto"/>
                <w:highlight w:val="none"/>
              </w:rPr>
              <w:t>副</w:t>
            </w:r>
            <w:r>
              <w:rPr>
                <w:color w:val="auto"/>
                <w:highlight w:val="none"/>
              </w:rPr>
              <w:t>局长</w:t>
            </w:r>
          </w:p>
        </w:tc>
        <w:tc>
          <w:tcPr>
            <w:tcW w:w="1076" w:type="dxa"/>
            <w:noWrap w:val="0"/>
            <w:vAlign w:val="center"/>
          </w:tcPr>
          <w:p w14:paraId="7426A192">
            <w:pPr>
              <w:pStyle w:val="29"/>
              <w:bidi w:val="0"/>
              <w:rPr>
                <w:rFonts w:hint="eastAsia"/>
                <w:color w:val="auto"/>
                <w:lang w:eastAsia="zh-CN"/>
              </w:rPr>
            </w:pPr>
            <w:r>
              <w:rPr>
                <w:rFonts w:hint="eastAsia"/>
                <w:color w:val="auto"/>
                <w:lang w:eastAsia="zh-CN"/>
              </w:rPr>
              <w:t>唐金泉</w:t>
            </w:r>
          </w:p>
        </w:tc>
        <w:tc>
          <w:tcPr>
            <w:tcW w:w="1691" w:type="dxa"/>
            <w:noWrap w:val="0"/>
            <w:vAlign w:val="center"/>
          </w:tcPr>
          <w:p w14:paraId="14BBA90D">
            <w:pPr>
              <w:pStyle w:val="29"/>
              <w:bidi w:val="0"/>
              <w:rPr>
                <w:color w:val="auto"/>
              </w:rPr>
            </w:pPr>
            <w:r>
              <w:rPr>
                <w:rFonts w:hint="eastAsia"/>
                <w:color w:val="auto"/>
                <w:lang w:val="en-US" w:eastAsia="zh-CN"/>
              </w:rPr>
              <w:t>18547099984</w:t>
            </w:r>
          </w:p>
        </w:tc>
      </w:tr>
      <w:tr w14:paraId="6D939E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F424C3F">
            <w:pPr>
              <w:pStyle w:val="29"/>
              <w:bidi w:val="0"/>
              <w:rPr>
                <w:color w:val="auto"/>
                <w:highlight w:val="none"/>
              </w:rPr>
            </w:pPr>
          </w:p>
        </w:tc>
        <w:tc>
          <w:tcPr>
            <w:tcW w:w="1011" w:type="dxa"/>
            <w:noWrap w:val="0"/>
            <w:vAlign w:val="center"/>
          </w:tcPr>
          <w:p w14:paraId="2380F5EC">
            <w:pPr>
              <w:pStyle w:val="29"/>
              <w:bidi w:val="0"/>
              <w:rPr>
                <w:color w:val="auto"/>
                <w:highlight w:val="none"/>
              </w:rPr>
            </w:pPr>
            <w:r>
              <w:rPr>
                <w:color w:val="auto"/>
                <w:highlight w:val="none"/>
              </w:rPr>
              <w:t>副组长</w:t>
            </w:r>
          </w:p>
        </w:tc>
        <w:tc>
          <w:tcPr>
            <w:tcW w:w="1970" w:type="dxa"/>
            <w:noWrap w:val="0"/>
            <w:vAlign w:val="center"/>
          </w:tcPr>
          <w:p w14:paraId="74CFD537">
            <w:pPr>
              <w:pStyle w:val="29"/>
              <w:bidi w:val="0"/>
              <w:rPr>
                <w:color w:val="auto"/>
                <w:highlight w:val="none"/>
              </w:rPr>
            </w:pPr>
            <w:r>
              <w:rPr>
                <w:color w:val="auto"/>
                <w:highlight w:val="none"/>
              </w:rPr>
              <w:t>应急管理局</w:t>
            </w:r>
          </w:p>
        </w:tc>
        <w:tc>
          <w:tcPr>
            <w:tcW w:w="1515" w:type="dxa"/>
            <w:noWrap w:val="0"/>
            <w:vAlign w:val="center"/>
          </w:tcPr>
          <w:p w14:paraId="64266F55">
            <w:pPr>
              <w:pStyle w:val="29"/>
              <w:bidi w:val="0"/>
              <w:rPr>
                <w:color w:val="auto"/>
                <w:highlight w:val="none"/>
              </w:rPr>
            </w:pPr>
            <w:r>
              <w:rPr>
                <w:color w:val="auto"/>
                <w:highlight w:val="none"/>
              </w:rPr>
              <w:t>局长</w:t>
            </w:r>
          </w:p>
        </w:tc>
        <w:tc>
          <w:tcPr>
            <w:tcW w:w="1076" w:type="dxa"/>
            <w:noWrap w:val="0"/>
            <w:vAlign w:val="center"/>
          </w:tcPr>
          <w:p w14:paraId="005A920D">
            <w:pPr>
              <w:pStyle w:val="29"/>
              <w:bidi w:val="0"/>
              <w:rPr>
                <w:rFonts w:hint="default"/>
                <w:color w:val="auto"/>
                <w:lang w:val="en-US" w:eastAsia="zh-CN"/>
              </w:rPr>
            </w:pPr>
            <w:r>
              <w:rPr>
                <w:rFonts w:hint="eastAsia"/>
                <w:color w:val="auto"/>
                <w:lang w:val="en-US" w:eastAsia="zh-CN"/>
              </w:rPr>
              <w:t>丁  波</w:t>
            </w:r>
          </w:p>
        </w:tc>
        <w:tc>
          <w:tcPr>
            <w:tcW w:w="1691" w:type="dxa"/>
            <w:noWrap w:val="0"/>
            <w:vAlign w:val="center"/>
          </w:tcPr>
          <w:p w14:paraId="29AEC311">
            <w:pPr>
              <w:pStyle w:val="29"/>
              <w:bidi w:val="0"/>
              <w:rPr>
                <w:color w:val="auto"/>
              </w:rPr>
            </w:pPr>
            <w:r>
              <w:rPr>
                <w:rFonts w:hint="eastAsia"/>
                <w:color w:val="auto"/>
              </w:rPr>
              <w:t>18147085868</w:t>
            </w:r>
          </w:p>
        </w:tc>
      </w:tr>
      <w:tr w14:paraId="57B562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74E07529">
            <w:pPr>
              <w:pStyle w:val="29"/>
              <w:bidi w:val="0"/>
              <w:rPr>
                <w:color w:val="auto"/>
                <w:highlight w:val="none"/>
              </w:rPr>
            </w:pPr>
          </w:p>
        </w:tc>
        <w:tc>
          <w:tcPr>
            <w:tcW w:w="1011" w:type="dxa"/>
            <w:vMerge w:val="restart"/>
            <w:noWrap w:val="0"/>
            <w:vAlign w:val="center"/>
          </w:tcPr>
          <w:p w14:paraId="4E3B9596">
            <w:pPr>
              <w:pStyle w:val="29"/>
              <w:bidi w:val="0"/>
              <w:rPr>
                <w:color w:val="auto"/>
                <w:highlight w:val="none"/>
              </w:rPr>
            </w:pPr>
            <w:r>
              <w:rPr>
                <w:color w:val="auto"/>
                <w:highlight w:val="none"/>
              </w:rPr>
              <w:t>成员</w:t>
            </w:r>
          </w:p>
        </w:tc>
        <w:tc>
          <w:tcPr>
            <w:tcW w:w="1970" w:type="dxa"/>
            <w:noWrap w:val="0"/>
            <w:vAlign w:val="center"/>
          </w:tcPr>
          <w:p w14:paraId="7FE1DE24">
            <w:pPr>
              <w:pStyle w:val="29"/>
              <w:bidi w:val="0"/>
              <w:rPr>
                <w:color w:val="auto"/>
                <w:highlight w:val="none"/>
              </w:rPr>
            </w:pPr>
            <w:r>
              <w:rPr>
                <w:color w:val="auto"/>
                <w:highlight w:val="none"/>
              </w:rPr>
              <w:t>农牧局</w:t>
            </w:r>
          </w:p>
        </w:tc>
        <w:tc>
          <w:tcPr>
            <w:tcW w:w="1515" w:type="dxa"/>
            <w:noWrap w:val="0"/>
            <w:vAlign w:val="center"/>
          </w:tcPr>
          <w:p w14:paraId="2E082690">
            <w:pPr>
              <w:pStyle w:val="29"/>
              <w:bidi w:val="0"/>
              <w:rPr>
                <w:color w:val="auto"/>
                <w:highlight w:val="none"/>
              </w:rPr>
            </w:pPr>
            <w:r>
              <w:rPr>
                <w:color w:val="auto"/>
                <w:highlight w:val="none"/>
              </w:rPr>
              <w:t>局长</w:t>
            </w:r>
          </w:p>
        </w:tc>
        <w:tc>
          <w:tcPr>
            <w:tcW w:w="1076" w:type="dxa"/>
            <w:noWrap w:val="0"/>
            <w:vAlign w:val="center"/>
          </w:tcPr>
          <w:p w14:paraId="3718F482">
            <w:pPr>
              <w:pStyle w:val="29"/>
              <w:bidi w:val="0"/>
              <w:rPr>
                <w:rFonts w:hint="default"/>
                <w:color w:val="auto"/>
                <w:lang w:val="en-US" w:eastAsia="zh-CN"/>
              </w:rPr>
            </w:pPr>
            <w:r>
              <w:rPr>
                <w:rFonts w:hint="eastAsia"/>
                <w:color w:val="auto"/>
                <w:lang w:val="en-US" w:eastAsia="zh-CN"/>
              </w:rPr>
              <w:t>齐子群</w:t>
            </w:r>
          </w:p>
        </w:tc>
        <w:tc>
          <w:tcPr>
            <w:tcW w:w="1691" w:type="dxa"/>
            <w:noWrap w:val="0"/>
            <w:vAlign w:val="center"/>
          </w:tcPr>
          <w:p w14:paraId="2DBF871F">
            <w:pPr>
              <w:pStyle w:val="29"/>
              <w:bidi w:val="0"/>
              <w:rPr>
                <w:color w:val="auto"/>
              </w:rPr>
            </w:pPr>
            <w:r>
              <w:rPr>
                <w:rFonts w:hint="eastAsia"/>
                <w:color w:val="auto"/>
                <w:lang w:val="en-US" w:eastAsia="zh-CN"/>
              </w:rPr>
              <w:t>13314705866</w:t>
            </w:r>
          </w:p>
        </w:tc>
      </w:tr>
      <w:tr w14:paraId="2D9939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9CD4A32">
            <w:pPr>
              <w:pStyle w:val="29"/>
              <w:bidi w:val="0"/>
              <w:rPr>
                <w:color w:val="auto"/>
              </w:rPr>
            </w:pPr>
          </w:p>
        </w:tc>
        <w:tc>
          <w:tcPr>
            <w:tcW w:w="1011" w:type="dxa"/>
            <w:vMerge w:val="continue"/>
            <w:noWrap w:val="0"/>
            <w:vAlign w:val="center"/>
          </w:tcPr>
          <w:p w14:paraId="139C8946">
            <w:pPr>
              <w:pStyle w:val="29"/>
              <w:bidi w:val="0"/>
              <w:rPr>
                <w:color w:val="auto"/>
              </w:rPr>
            </w:pPr>
          </w:p>
        </w:tc>
        <w:tc>
          <w:tcPr>
            <w:tcW w:w="1970" w:type="dxa"/>
            <w:noWrap w:val="0"/>
            <w:vAlign w:val="center"/>
          </w:tcPr>
          <w:p w14:paraId="3A59BF92">
            <w:pPr>
              <w:pStyle w:val="29"/>
              <w:bidi w:val="0"/>
              <w:rPr>
                <w:color w:val="auto"/>
              </w:rPr>
            </w:pPr>
            <w:r>
              <w:rPr>
                <w:color w:val="auto"/>
              </w:rPr>
              <w:t>水利局</w:t>
            </w:r>
          </w:p>
        </w:tc>
        <w:tc>
          <w:tcPr>
            <w:tcW w:w="1515" w:type="dxa"/>
            <w:noWrap w:val="0"/>
            <w:vAlign w:val="center"/>
          </w:tcPr>
          <w:p w14:paraId="5C27DC95">
            <w:pPr>
              <w:pStyle w:val="29"/>
              <w:bidi w:val="0"/>
              <w:rPr>
                <w:color w:val="auto"/>
              </w:rPr>
            </w:pPr>
            <w:r>
              <w:rPr>
                <w:color w:val="auto"/>
              </w:rPr>
              <w:t>局长</w:t>
            </w:r>
          </w:p>
        </w:tc>
        <w:tc>
          <w:tcPr>
            <w:tcW w:w="1076" w:type="dxa"/>
            <w:noWrap w:val="0"/>
            <w:vAlign w:val="center"/>
          </w:tcPr>
          <w:p w14:paraId="0B328C65">
            <w:pPr>
              <w:pStyle w:val="29"/>
              <w:bidi w:val="0"/>
              <w:rPr>
                <w:color w:val="auto"/>
              </w:rPr>
            </w:pPr>
            <w:r>
              <w:rPr>
                <w:rFonts w:hint="eastAsia"/>
                <w:color w:val="auto"/>
                <w:lang w:eastAsia="zh-CN"/>
              </w:rPr>
              <w:t>金</w:t>
            </w:r>
            <w:r>
              <w:rPr>
                <w:rFonts w:hint="eastAsia"/>
                <w:color w:val="auto"/>
                <w:lang w:val="en-US" w:eastAsia="zh-CN"/>
              </w:rPr>
              <w:t xml:space="preserve">  </w:t>
            </w:r>
            <w:r>
              <w:rPr>
                <w:rFonts w:hint="eastAsia"/>
                <w:color w:val="auto"/>
                <w:lang w:eastAsia="zh-CN"/>
              </w:rPr>
              <w:t>军</w:t>
            </w:r>
          </w:p>
        </w:tc>
        <w:tc>
          <w:tcPr>
            <w:tcW w:w="1691" w:type="dxa"/>
            <w:noWrap w:val="0"/>
            <w:vAlign w:val="center"/>
          </w:tcPr>
          <w:p w14:paraId="75545E1B">
            <w:pPr>
              <w:pStyle w:val="29"/>
              <w:bidi w:val="0"/>
              <w:rPr>
                <w:color w:val="auto"/>
              </w:rPr>
            </w:pPr>
            <w:r>
              <w:rPr>
                <w:rFonts w:hint="eastAsia"/>
                <w:color w:val="auto"/>
                <w:lang w:val="en-US" w:eastAsia="zh-CN"/>
              </w:rPr>
              <w:t>15048066777</w:t>
            </w:r>
          </w:p>
        </w:tc>
      </w:tr>
      <w:tr w14:paraId="14EDAD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4293CFA6">
            <w:pPr>
              <w:pStyle w:val="29"/>
              <w:bidi w:val="0"/>
              <w:rPr>
                <w:color w:val="auto"/>
              </w:rPr>
            </w:pPr>
            <w:r>
              <w:rPr>
                <w:color w:val="auto"/>
              </w:rPr>
              <w:t>综合协调组</w:t>
            </w:r>
          </w:p>
        </w:tc>
        <w:tc>
          <w:tcPr>
            <w:tcW w:w="1011" w:type="dxa"/>
            <w:noWrap w:val="0"/>
            <w:vAlign w:val="center"/>
          </w:tcPr>
          <w:p w14:paraId="18EFE8C4">
            <w:pPr>
              <w:pStyle w:val="29"/>
              <w:bidi w:val="0"/>
              <w:rPr>
                <w:color w:val="auto"/>
              </w:rPr>
            </w:pPr>
            <w:r>
              <w:rPr>
                <w:color w:val="auto"/>
              </w:rPr>
              <w:t>组长</w:t>
            </w:r>
          </w:p>
        </w:tc>
        <w:tc>
          <w:tcPr>
            <w:tcW w:w="1970" w:type="dxa"/>
            <w:noWrap w:val="0"/>
            <w:vAlign w:val="center"/>
          </w:tcPr>
          <w:p w14:paraId="0C86A2DE">
            <w:pPr>
              <w:pStyle w:val="29"/>
              <w:bidi w:val="0"/>
              <w:rPr>
                <w:color w:val="auto"/>
              </w:rPr>
            </w:pPr>
            <w:r>
              <w:rPr>
                <w:color w:val="auto"/>
              </w:rPr>
              <w:t>市委</w:t>
            </w:r>
          </w:p>
        </w:tc>
        <w:tc>
          <w:tcPr>
            <w:tcW w:w="1515" w:type="dxa"/>
            <w:noWrap w:val="0"/>
            <w:vAlign w:val="center"/>
          </w:tcPr>
          <w:p w14:paraId="1CDC2555">
            <w:pPr>
              <w:pStyle w:val="29"/>
              <w:bidi w:val="0"/>
              <w:rPr>
                <w:color w:val="auto"/>
              </w:rPr>
            </w:pPr>
            <w:r>
              <w:rPr>
                <w:color w:val="auto"/>
              </w:rPr>
              <w:t>办公室副主任</w:t>
            </w:r>
          </w:p>
        </w:tc>
        <w:tc>
          <w:tcPr>
            <w:tcW w:w="1076" w:type="dxa"/>
            <w:noWrap w:val="0"/>
            <w:vAlign w:val="center"/>
          </w:tcPr>
          <w:p w14:paraId="2F39DB5A">
            <w:pPr>
              <w:pStyle w:val="29"/>
              <w:bidi w:val="0"/>
              <w:rPr>
                <w:rFonts w:hint="eastAsia"/>
                <w:color w:val="auto"/>
                <w:lang w:val="en-US" w:eastAsia="zh-CN"/>
              </w:rPr>
            </w:pPr>
            <w:r>
              <w:rPr>
                <w:rFonts w:hint="eastAsia"/>
                <w:color w:val="auto"/>
                <w:lang w:val="en-US" w:eastAsia="zh-CN"/>
              </w:rPr>
              <w:t>邓坤峰</w:t>
            </w:r>
          </w:p>
        </w:tc>
        <w:tc>
          <w:tcPr>
            <w:tcW w:w="1691" w:type="dxa"/>
            <w:noWrap w:val="0"/>
            <w:vAlign w:val="center"/>
          </w:tcPr>
          <w:p w14:paraId="652F21DE">
            <w:pPr>
              <w:pStyle w:val="29"/>
              <w:bidi w:val="0"/>
              <w:rPr>
                <w:rFonts w:hint="default"/>
                <w:color w:val="auto"/>
                <w:lang w:val="en-US" w:eastAsia="zh-CN"/>
              </w:rPr>
            </w:pPr>
            <w:r>
              <w:rPr>
                <w:rFonts w:hint="eastAsia"/>
                <w:color w:val="auto"/>
                <w:lang w:val="en-US" w:eastAsia="zh-CN"/>
              </w:rPr>
              <w:t>18304705656</w:t>
            </w:r>
          </w:p>
        </w:tc>
      </w:tr>
      <w:tr w14:paraId="0DF53B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F8B07E6">
            <w:pPr>
              <w:pStyle w:val="29"/>
              <w:bidi w:val="0"/>
              <w:rPr>
                <w:color w:val="auto"/>
              </w:rPr>
            </w:pPr>
          </w:p>
        </w:tc>
        <w:tc>
          <w:tcPr>
            <w:tcW w:w="1011" w:type="dxa"/>
            <w:noWrap w:val="0"/>
            <w:vAlign w:val="center"/>
          </w:tcPr>
          <w:p w14:paraId="5AC532C9">
            <w:pPr>
              <w:pStyle w:val="29"/>
              <w:bidi w:val="0"/>
              <w:rPr>
                <w:rFonts w:hint="eastAsia" w:eastAsia="仿宋"/>
                <w:color w:val="auto"/>
                <w:lang w:val="en-US" w:eastAsia="zh-CN"/>
              </w:rPr>
            </w:pPr>
            <w:r>
              <w:rPr>
                <w:rFonts w:hint="eastAsia"/>
                <w:color w:val="auto"/>
                <w:lang w:val="en-US" w:eastAsia="zh-CN"/>
              </w:rPr>
              <w:t>组员</w:t>
            </w:r>
          </w:p>
        </w:tc>
        <w:tc>
          <w:tcPr>
            <w:tcW w:w="1970" w:type="dxa"/>
            <w:noWrap w:val="0"/>
            <w:vAlign w:val="center"/>
          </w:tcPr>
          <w:p w14:paraId="7A429356">
            <w:pPr>
              <w:pStyle w:val="29"/>
              <w:bidi w:val="0"/>
              <w:rPr>
                <w:color w:val="auto"/>
              </w:rPr>
            </w:pPr>
            <w:r>
              <w:rPr>
                <w:rFonts w:hint="eastAsia"/>
                <w:color w:val="auto"/>
              </w:rPr>
              <w:t>交通运输局</w:t>
            </w:r>
          </w:p>
        </w:tc>
        <w:tc>
          <w:tcPr>
            <w:tcW w:w="1515" w:type="dxa"/>
            <w:noWrap w:val="0"/>
            <w:vAlign w:val="center"/>
          </w:tcPr>
          <w:p w14:paraId="2CCF0539">
            <w:pPr>
              <w:pStyle w:val="29"/>
              <w:bidi w:val="0"/>
              <w:rPr>
                <w:color w:val="auto"/>
              </w:rPr>
            </w:pPr>
            <w:r>
              <w:rPr>
                <w:rFonts w:hint="eastAsia"/>
                <w:color w:val="auto"/>
              </w:rPr>
              <w:t>办公室主任</w:t>
            </w:r>
          </w:p>
        </w:tc>
        <w:tc>
          <w:tcPr>
            <w:tcW w:w="1076" w:type="dxa"/>
            <w:noWrap w:val="0"/>
            <w:vAlign w:val="center"/>
          </w:tcPr>
          <w:p w14:paraId="062A6FBB">
            <w:pPr>
              <w:pStyle w:val="29"/>
              <w:bidi w:val="0"/>
              <w:rPr>
                <w:rFonts w:hint="eastAsia"/>
                <w:color w:val="auto"/>
                <w:lang w:val="en-US" w:eastAsia="zh-CN"/>
              </w:rPr>
            </w:pPr>
            <w:r>
              <w:rPr>
                <w:rFonts w:hint="eastAsia"/>
                <w:color w:val="auto"/>
                <w:lang w:val="en-US" w:eastAsia="zh-CN"/>
              </w:rPr>
              <w:t>李鑫</w:t>
            </w:r>
          </w:p>
        </w:tc>
        <w:tc>
          <w:tcPr>
            <w:tcW w:w="1691" w:type="dxa"/>
            <w:noWrap w:val="0"/>
            <w:vAlign w:val="center"/>
          </w:tcPr>
          <w:p w14:paraId="65CB5925">
            <w:pPr>
              <w:pStyle w:val="29"/>
              <w:bidi w:val="0"/>
              <w:rPr>
                <w:rFonts w:hint="eastAsia"/>
                <w:color w:val="auto"/>
                <w:lang w:val="en-US" w:eastAsia="zh-CN"/>
              </w:rPr>
            </w:pPr>
            <w:r>
              <w:rPr>
                <w:rFonts w:hint="eastAsia"/>
                <w:color w:val="auto"/>
                <w:lang w:val="en-US" w:eastAsia="zh-CN"/>
              </w:rPr>
              <w:t>13789500614</w:t>
            </w:r>
          </w:p>
        </w:tc>
      </w:tr>
      <w:tr w14:paraId="31D7C2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78C57326">
            <w:pPr>
              <w:pStyle w:val="29"/>
              <w:bidi w:val="0"/>
              <w:rPr>
                <w:color w:val="auto"/>
              </w:rPr>
            </w:pPr>
            <w:r>
              <w:rPr>
                <w:color w:val="auto"/>
              </w:rPr>
              <w:t>现场处置组</w:t>
            </w:r>
          </w:p>
        </w:tc>
        <w:tc>
          <w:tcPr>
            <w:tcW w:w="1011" w:type="dxa"/>
            <w:noWrap w:val="0"/>
            <w:vAlign w:val="center"/>
          </w:tcPr>
          <w:p w14:paraId="691D3CF8">
            <w:pPr>
              <w:pStyle w:val="29"/>
              <w:bidi w:val="0"/>
              <w:rPr>
                <w:color w:val="auto"/>
              </w:rPr>
            </w:pPr>
            <w:r>
              <w:rPr>
                <w:color w:val="auto"/>
              </w:rPr>
              <w:t>组长</w:t>
            </w:r>
          </w:p>
        </w:tc>
        <w:tc>
          <w:tcPr>
            <w:tcW w:w="1970" w:type="dxa"/>
            <w:noWrap w:val="0"/>
            <w:vAlign w:val="center"/>
          </w:tcPr>
          <w:p w14:paraId="305470E0">
            <w:pPr>
              <w:pStyle w:val="29"/>
              <w:bidi w:val="0"/>
              <w:rPr>
                <w:color w:val="auto"/>
              </w:rPr>
            </w:pPr>
            <w:r>
              <w:rPr>
                <w:color w:val="auto"/>
              </w:rPr>
              <w:t>生态环境</w:t>
            </w:r>
            <w:r>
              <w:rPr>
                <w:rFonts w:hint="eastAsia"/>
                <w:color w:val="auto"/>
              </w:rPr>
              <w:t>分</w:t>
            </w:r>
            <w:r>
              <w:rPr>
                <w:color w:val="auto"/>
              </w:rPr>
              <w:t>局</w:t>
            </w:r>
          </w:p>
        </w:tc>
        <w:tc>
          <w:tcPr>
            <w:tcW w:w="1515" w:type="dxa"/>
            <w:noWrap w:val="0"/>
            <w:vAlign w:val="center"/>
          </w:tcPr>
          <w:p w14:paraId="0D4993B4">
            <w:pPr>
              <w:pStyle w:val="29"/>
              <w:bidi w:val="0"/>
              <w:rPr>
                <w:color w:val="auto"/>
              </w:rPr>
            </w:pPr>
            <w:r>
              <w:rPr>
                <w:color w:val="auto"/>
              </w:rPr>
              <w:t>副局长</w:t>
            </w:r>
          </w:p>
        </w:tc>
        <w:tc>
          <w:tcPr>
            <w:tcW w:w="1076" w:type="dxa"/>
            <w:noWrap w:val="0"/>
            <w:vAlign w:val="center"/>
          </w:tcPr>
          <w:p w14:paraId="73C5EBB1">
            <w:pPr>
              <w:pStyle w:val="29"/>
              <w:bidi w:val="0"/>
              <w:rPr>
                <w:color w:val="auto"/>
              </w:rPr>
            </w:pPr>
            <w:r>
              <w:rPr>
                <w:rFonts w:hint="eastAsia"/>
                <w:color w:val="auto"/>
                <w:lang w:eastAsia="zh-CN"/>
              </w:rPr>
              <w:t>唐金泉</w:t>
            </w:r>
          </w:p>
        </w:tc>
        <w:tc>
          <w:tcPr>
            <w:tcW w:w="1691" w:type="dxa"/>
            <w:noWrap w:val="0"/>
            <w:vAlign w:val="center"/>
          </w:tcPr>
          <w:p w14:paraId="55010C78">
            <w:pPr>
              <w:pStyle w:val="29"/>
              <w:bidi w:val="0"/>
              <w:rPr>
                <w:color w:val="auto"/>
              </w:rPr>
            </w:pPr>
            <w:r>
              <w:rPr>
                <w:rFonts w:hint="eastAsia"/>
                <w:color w:val="auto"/>
                <w:lang w:val="en-US" w:eastAsia="zh-CN"/>
              </w:rPr>
              <w:t>18547099984</w:t>
            </w:r>
          </w:p>
        </w:tc>
      </w:tr>
      <w:tr w14:paraId="23AD33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1C59730C">
            <w:pPr>
              <w:pStyle w:val="29"/>
              <w:bidi w:val="0"/>
              <w:rPr>
                <w:color w:val="auto"/>
              </w:rPr>
            </w:pPr>
          </w:p>
        </w:tc>
        <w:tc>
          <w:tcPr>
            <w:tcW w:w="1011" w:type="dxa"/>
            <w:noWrap w:val="0"/>
            <w:vAlign w:val="center"/>
          </w:tcPr>
          <w:p w14:paraId="7596D569">
            <w:pPr>
              <w:pStyle w:val="29"/>
              <w:bidi w:val="0"/>
              <w:rPr>
                <w:color w:val="auto"/>
              </w:rPr>
            </w:pPr>
            <w:r>
              <w:rPr>
                <w:color w:val="auto"/>
              </w:rPr>
              <w:t>副组长</w:t>
            </w:r>
          </w:p>
        </w:tc>
        <w:tc>
          <w:tcPr>
            <w:tcW w:w="1970" w:type="dxa"/>
            <w:noWrap w:val="0"/>
            <w:vAlign w:val="center"/>
          </w:tcPr>
          <w:p w14:paraId="5F88D8FF">
            <w:pPr>
              <w:pStyle w:val="29"/>
              <w:bidi w:val="0"/>
              <w:rPr>
                <w:color w:val="auto"/>
              </w:rPr>
            </w:pPr>
            <w:r>
              <w:rPr>
                <w:color w:val="auto"/>
              </w:rPr>
              <w:t>消防救援大队</w:t>
            </w:r>
          </w:p>
        </w:tc>
        <w:tc>
          <w:tcPr>
            <w:tcW w:w="1515" w:type="dxa"/>
            <w:noWrap w:val="0"/>
            <w:vAlign w:val="center"/>
          </w:tcPr>
          <w:p w14:paraId="1802400A">
            <w:pPr>
              <w:pStyle w:val="29"/>
              <w:bidi w:val="0"/>
              <w:rPr>
                <w:color w:val="auto"/>
              </w:rPr>
            </w:pPr>
            <w:r>
              <w:rPr>
                <w:color w:val="auto"/>
              </w:rPr>
              <w:t>大队长</w:t>
            </w:r>
          </w:p>
        </w:tc>
        <w:tc>
          <w:tcPr>
            <w:tcW w:w="1076" w:type="dxa"/>
            <w:noWrap w:val="0"/>
            <w:vAlign w:val="center"/>
          </w:tcPr>
          <w:p w14:paraId="3BC9E5CF">
            <w:pPr>
              <w:pStyle w:val="29"/>
              <w:bidi w:val="0"/>
              <w:rPr>
                <w:color w:val="auto"/>
              </w:rPr>
            </w:pPr>
            <w:r>
              <w:rPr>
                <w:rFonts w:hint="default"/>
                <w:color w:val="auto"/>
                <w:lang w:val="en-US" w:eastAsia="zh-CN"/>
              </w:rPr>
              <w:t>达林台</w:t>
            </w:r>
          </w:p>
        </w:tc>
        <w:tc>
          <w:tcPr>
            <w:tcW w:w="1691" w:type="dxa"/>
            <w:noWrap w:val="0"/>
            <w:vAlign w:val="center"/>
          </w:tcPr>
          <w:p w14:paraId="129BD998">
            <w:pPr>
              <w:pStyle w:val="29"/>
              <w:bidi w:val="0"/>
              <w:rPr>
                <w:color w:val="auto"/>
              </w:rPr>
            </w:pPr>
            <w:r>
              <w:rPr>
                <w:rFonts w:hint="default"/>
                <w:color w:val="auto"/>
                <w:lang w:val="en-US" w:eastAsia="zh-CN"/>
              </w:rPr>
              <w:t>15547000111</w:t>
            </w:r>
          </w:p>
        </w:tc>
      </w:tr>
      <w:tr w14:paraId="3CE876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7C93454B">
            <w:pPr>
              <w:pStyle w:val="29"/>
              <w:bidi w:val="0"/>
              <w:rPr>
                <w:color w:val="auto"/>
              </w:rPr>
            </w:pPr>
          </w:p>
        </w:tc>
        <w:tc>
          <w:tcPr>
            <w:tcW w:w="1011" w:type="dxa"/>
            <w:vMerge w:val="restart"/>
            <w:noWrap w:val="0"/>
            <w:vAlign w:val="center"/>
          </w:tcPr>
          <w:p w14:paraId="22E1CC61">
            <w:pPr>
              <w:pStyle w:val="29"/>
              <w:bidi w:val="0"/>
              <w:rPr>
                <w:color w:val="auto"/>
              </w:rPr>
            </w:pPr>
            <w:r>
              <w:rPr>
                <w:color w:val="auto"/>
              </w:rPr>
              <w:t>成员</w:t>
            </w:r>
          </w:p>
        </w:tc>
        <w:tc>
          <w:tcPr>
            <w:tcW w:w="1970" w:type="dxa"/>
            <w:noWrap w:val="0"/>
            <w:vAlign w:val="center"/>
          </w:tcPr>
          <w:p w14:paraId="35313554">
            <w:pPr>
              <w:pStyle w:val="29"/>
              <w:bidi w:val="0"/>
              <w:rPr>
                <w:color w:val="auto"/>
              </w:rPr>
            </w:pPr>
            <w:r>
              <w:rPr>
                <w:color w:val="auto"/>
              </w:rPr>
              <w:t>工业和信息化局</w:t>
            </w:r>
          </w:p>
        </w:tc>
        <w:tc>
          <w:tcPr>
            <w:tcW w:w="1515" w:type="dxa"/>
            <w:noWrap w:val="0"/>
            <w:vAlign w:val="center"/>
          </w:tcPr>
          <w:p w14:paraId="4192B5BA">
            <w:pPr>
              <w:pStyle w:val="29"/>
              <w:bidi w:val="0"/>
              <w:rPr>
                <w:color w:val="auto"/>
              </w:rPr>
            </w:pPr>
            <w:r>
              <w:rPr>
                <w:color w:val="auto"/>
              </w:rPr>
              <w:t>局长</w:t>
            </w:r>
          </w:p>
        </w:tc>
        <w:tc>
          <w:tcPr>
            <w:tcW w:w="1076" w:type="dxa"/>
            <w:noWrap w:val="0"/>
            <w:vAlign w:val="center"/>
          </w:tcPr>
          <w:p w14:paraId="0A111243">
            <w:pPr>
              <w:pStyle w:val="29"/>
              <w:bidi w:val="0"/>
              <w:rPr>
                <w:color w:val="auto"/>
              </w:rPr>
            </w:pPr>
            <w:r>
              <w:rPr>
                <w:rFonts w:hint="eastAsia"/>
                <w:color w:val="auto"/>
                <w:lang w:val="en-US" w:eastAsia="zh-CN"/>
              </w:rPr>
              <w:t>刘国财</w:t>
            </w:r>
          </w:p>
        </w:tc>
        <w:tc>
          <w:tcPr>
            <w:tcW w:w="1691" w:type="dxa"/>
            <w:shd w:val="clear" w:color="auto" w:fill="auto"/>
            <w:noWrap w:val="0"/>
            <w:vAlign w:val="center"/>
          </w:tcPr>
          <w:p w14:paraId="60A52830">
            <w:pPr>
              <w:pStyle w:val="29"/>
              <w:bidi w:val="0"/>
              <w:rPr>
                <w:rFonts w:hint="default"/>
                <w:color w:val="auto"/>
                <w:lang w:val="en-US" w:eastAsia="zh-CN"/>
              </w:rPr>
            </w:pPr>
            <w:r>
              <w:rPr>
                <w:rFonts w:hint="eastAsia"/>
                <w:color w:val="auto"/>
                <w:lang w:val="en-US" w:eastAsia="zh-CN"/>
              </w:rPr>
              <w:t>15335602277</w:t>
            </w:r>
          </w:p>
        </w:tc>
      </w:tr>
      <w:tr w14:paraId="2CAF5D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E7A2EDE">
            <w:pPr>
              <w:pStyle w:val="29"/>
              <w:bidi w:val="0"/>
              <w:rPr>
                <w:color w:val="auto"/>
              </w:rPr>
            </w:pPr>
          </w:p>
        </w:tc>
        <w:tc>
          <w:tcPr>
            <w:tcW w:w="1011" w:type="dxa"/>
            <w:vMerge w:val="continue"/>
            <w:noWrap w:val="0"/>
            <w:vAlign w:val="center"/>
          </w:tcPr>
          <w:p w14:paraId="7BADAE46">
            <w:pPr>
              <w:pStyle w:val="29"/>
              <w:bidi w:val="0"/>
              <w:rPr>
                <w:color w:val="auto"/>
              </w:rPr>
            </w:pPr>
          </w:p>
        </w:tc>
        <w:tc>
          <w:tcPr>
            <w:tcW w:w="1970" w:type="dxa"/>
            <w:noWrap w:val="0"/>
            <w:vAlign w:val="center"/>
          </w:tcPr>
          <w:p w14:paraId="31333E14">
            <w:pPr>
              <w:pStyle w:val="29"/>
              <w:bidi w:val="0"/>
              <w:rPr>
                <w:color w:val="auto"/>
              </w:rPr>
            </w:pPr>
            <w:r>
              <w:rPr>
                <w:color w:val="auto"/>
              </w:rPr>
              <w:t>公安局</w:t>
            </w:r>
          </w:p>
        </w:tc>
        <w:tc>
          <w:tcPr>
            <w:tcW w:w="1515" w:type="dxa"/>
            <w:noWrap w:val="0"/>
            <w:vAlign w:val="center"/>
          </w:tcPr>
          <w:p w14:paraId="77EF6B26">
            <w:pPr>
              <w:pStyle w:val="29"/>
              <w:bidi w:val="0"/>
              <w:rPr>
                <w:color w:val="auto"/>
              </w:rPr>
            </w:pPr>
            <w:r>
              <w:rPr>
                <w:color w:val="auto"/>
              </w:rPr>
              <w:t>副局长</w:t>
            </w:r>
          </w:p>
        </w:tc>
        <w:tc>
          <w:tcPr>
            <w:tcW w:w="1076" w:type="dxa"/>
            <w:noWrap w:val="0"/>
            <w:vAlign w:val="center"/>
          </w:tcPr>
          <w:p w14:paraId="1839F039">
            <w:pPr>
              <w:pStyle w:val="29"/>
              <w:bidi w:val="0"/>
              <w:rPr>
                <w:color w:val="auto"/>
              </w:rPr>
            </w:pPr>
            <w:r>
              <w:rPr>
                <w:rFonts w:hint="eastAsia"/>
                <w:color w:val="auto"/>
                <w:lang w:val="en-US" w:eastAsia="zh-CN"/>
              </w:rPr>
              <w:t>杨金刚</w:t>
            </w:r>
          </w:p>
        </w:tc>
        <w:tc>
          <w:tcPr>
            <w:tcW w:w="1691" w:type="dxa"/>
            <w:noWrap w:val="0"/>
            <w:vAlign w:val="center"/>
          </w:tcPr>
          <w:p w14:paraId="1A2A2A8C">
            <w:pPr>
              <w:pStyle w:val="29"/>
              <w:bidi w:val="0"/>
              <w:rPr>
                <w:color w:val="auto"/>
              </w:rPr>
            </w:pPr>
            <w:r>
              <w:rPr>
                <w:rFonts w:hint="eastAsia"/>
                <w:color w:val="auto"/>
                <w:lang w:val="en-US" w:eastAsia="zh-CN"/>
              </w:rPr>
              <w:t>13948605666</w:t>
            </w:r>
          </w:p>
        </w:tc>
      </w:tr>
      <w:tr w14:paraId="71F0CB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78ED6C1A">
            <w:pPr>
              <w:pStyle w:val="29"/>
              <w:bidi w:val="0"/>
              <w:rPr>
                <w:color w:val="auto"/>
              </w:rPr>
            </w:pPr>
          </w:p>
        </w:tc>
        <w:tc>
          <w:tcPr>
            <w:tcW w:w="1011" w:type="dxa"/>
            <w:vMerge w:val="continue"/>
            <w:noWrap w:val="0"/>
            <w:vAlign w:val="center"/>
          </w:tcPr>
          <w:p w14:paraId="64B00E48">
            <w:pPr>
              <w:pStyle w:val="29"/>
              <w:bidi w:val="0"/>
              <w:rPr>
                <w:color w:val="auto"/>
              </w:rPr>
            </w:pPr>
          </w:p>
        </w:tc>
        <w:tc>
          <w:tcPr>
            <w:tcW w:w="1970" w:type="dxa"/>
            <w:noWrap w:val="0"/>
            <w:vAlign w:val="center"/>
          </w:tcPr>
          <w:p w14:paraId="2CDEC8F9">
            <w:pPr>
              <w:pStyle w:val="29"/>
              <w:bidi w:val="0"/>
              <w:rPr>
                <w:color w:val="auto"/>
              </w:rPr>
            </w:pPr>
            <w:r>
              <w:rPr>
                <w:color w:val="auto"/>
              </w:rPr>
              <w:t>自然资源局</w:t>
            </w:r>
          </w:p>
        </w:tc>
        <w:tc>
          <w:tcPr>
            <w:tcW w:w="1515" w:type="dxa"/>
            <w:noWrap w:val="0"/>
            <w:vAlign w:val="center"/>
          </w:tcPr>
          <w:p w14:paraId="5D435EDE">
            <w:pPr>
              <w:pStyle w:val="29"/>
              <w:bidi w:val="0"/>
              <w:rPr>
                <w:color w:val="auto"/>
              </w:rPr>
            </w:pPr>
            <w:r>
              <w:rPr>
                <w:color w:val="auto"/>
              </w:rPr>
              <w:t>局长</w:t>
            </w:r>
          </w:p>
        </w:tc>
        <w:tc>
          <w:tcPr>
            <w:tcW w:w="1076" w:type="dxa"/>
            <w:noWrap w:val="0"/>
            <w:vAlign w:val="center"/>
          </w:tcPr>
          <w:p w14:paraId="0AB1943F">
            <w:pPr>
              <w:pStyle w:val="29"/>
              <w:bidi w:val="0"/>
              <w:rPr>
                <w:color w:val="auto"/>
              </w:rPr>
            </w:pPr>
            <w:r>
              <w:rPr>
                <w:rFonts w:hint="eastAsia"/>
                <w:color w:val="auto"/>
                <w:lang w:val="en-US" w:eastAsia="zh-CN"/>
              </w:rPr>
              <w:t>高洪达</w:t>
            </w:r>
          </w:p>
        </w:tc>
        <w:tc>
          <w:tcPr>
            <w:tcW w:w="1691" w:type="dxa"/>
            <w:noWrap w:val="0"/>
            <w:vAlign w:val="center"/>
          </w:tcPr>
          <w:p w14:paraId="14482E3E">
            <w:pPr>
              <w:pStyle w:val="29"/>
              <w:bidi w:val="0"/>
              <w:rPr>
                <w:color w:val="auto"/>
              </w:rPr>
            </w:pPr>
            <w:r>
              <w:rPr>
                <w:rFonts w:hint="eastAsia"/>
                <w:color w:val="auto"/>
                <w:lang w:val="en-US" w:eastAsia="zh-CN"/>
              </w:rPr>
              <w:t>13347033434</w:t>
            </w:r>
          </w:p>
        </w:tc>
      </w:tr>
      <w:tr w14:paraId="336731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4FF65AD">
            <w:pPr>
              <w:pStyle w:val="29"/>
              <w:bidi w:val="0"/>
              <w:rPr>
                <w:color w:val="auto"/>
              </w:rPr>
            </w:pPr>
          </w:p>
        </w:tc>
        <w:tc>
          <w:tcPr>
            <w:tcW w:w="1011" w:type="dxa"/>
            <w:vMerge w:val="continue"/>
            <w:noWrap w:val="0"/>
            <w:vAlign w:val="center"/>
          </w:tcPr>
          <w:p w14:paraId="308E1422">
            <w:pPr>
              <w:pStyle w:val="29"/>
              <w:bidi w:val="0"/>
              <w:rPr>
                <w:color w:val="auto"/>
              </w:rPr>
            </w:pPr>
          </w:p>
        </w:tc>
        <w:tc>
          <w:tcPr>
            <w:tcW w:w="1970" w:type="dxa"/>
            <w:noWrap w:val="0"/>
            <w:vAlign w:val="center"/>
          </w:tcPr>
          <w:p w14:paraId="59A12EE2">
            <w:pPr>
              <w:pStyle w:val="29"/>
              <w:bidi w:val="0"/>
              <w:rPr>
                <w:color w:val="auto"/>
              </w:rPr>
            </w:pPr>
            <w:r>
              <w:rPr>
                <w:color w:val="auto"/>
              </w:rPr>
              <w:t>交通运输局</w:t>
            </w:r>
          </w:p>
        </w:tc>
        <w:tc>
          <w:tcPr>
            <w:tcW w:w="1515" w:type="dxa"/>
            <w:noWrap w:val="0"/>
            <w:vAlign w:val="center"/>
          </w:tcPr>
          <w:p w14:paraId="62A4A0A1">
            <w:pPr>
              <w:pStyle w:val="29"/>
              <w:bidi w:val="0"/>
              <w:rPr>
                <w:color w:val="auto"/>
              </w:rPr>
            </w:pPr>
            <w:r>
              <w:rPr>
                <w:color w:val="auto"/>
              </w:rPr>
              <w:t>局长</w:t>
            </w:r>
          </w:p>
        </w:tc>
        <w:tc>
          <w:tcPr>
            <w:tcW w:w="1076" w:type="dxa"/>
            <w:noWrap w:val="0"/>
            <w:vAlign w:val="center"/>
          </w:tcPr>
          <w:p w14:paraId="04D4A0B8">
            <w:pPr>
              <w:pStyle w:val="29"/>
              <w:bidi w:val="0"/>
              <w:rPr>
                <w:color w:val="auto"/>
              </w:rPr>
            </w:pPr>
            <w:r>
              <w:rPr>
                <w:rFonts w:hint="eastAsia"/>
                <w:color w:val="auto"/>
                <w:lang w:val="en-US" w:eastAsia="zh-CN"/>
              </w:rPr>
              <w:t>李树崴</w:t>
            </w:r>
          </w:p>
        </w:tc>
        <w:tc>
          <w:tcPr>
            <w:tcW w:w="1691" w:type="dxa"/>
            <w:noWrap w:val="0"/>
            <w:vAlign w:val="center"/>
          </w:tcPr>
          <w:p w14:paraId="39228D76">
            <w:pPr>
              <w:pStyle w:val="29"/>
              <w:bidi w:val="0"/>
              <w:rPr>
                <w:color w:val="auto"/>
              </w:rPr>
            </w:pPr>
            <w:r>
              <w:rPr>
                <w:rFonts w:hint="eastAsia"/>
                <w:color w:val="auto"/>
                <w:lang w:val="en-US" w:eastAsia="zh-CN"/>
              </w:rPr>
              <w:t>13847033000</w:t>
            </w:r>
          </w:p>
        </w:tc>
      </w:tr>
      <w:tr w14:paraId="63A4C5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33687B8E">
            <w:pPr>
              <w:pStyle w:val="29"/>
              <w:bidi w:val="0"/>
              <w:rPr>
                <w:color w:val="auto"/>
              </w:rPr>
            </w:pPr>
          </w:p>
        </w:tc>
        <w:tc>
          <w:tcPr>
            <w:tcW w:w="1011" w:type="dxa"/>
            <w:vMerge w:val="continue"/>
            <w:noWrap w:val="0"/>
            <w:vAlign w:val="center"/>
          </w:tcPr>
          <w:p w14:paraId="307FDD3D">
            <w:pPr>
              <w:pStyle w:val="29"/>
              <w:bidi w:val="0"/>
              <w:rPr>
                <w:color w:val="auto"/>
              </w:rPr>
            </w:pPr>
          </w:p>
        </w:tc>
        <w:tc>
          <w:tcPr>
            <w:tcW w:w="1970" w:type="dxa"/>
            <w:noWrap w:val="0"/>
            <w:vAlign w:val="center"/>
          </w:tcPr>
          <w:p w14:paraId="0EEF30FF">
            <w:pPr>
              <w:pStyle w:val="29"/>
              <w:bidi w:val="0"/>
              <w:rPr>
                <w:color w:val="auto"/>
              </w:rPr>
            </w:pPr>
            <w:r>
              <w:rPr>
                <w:color w:val="auto"/>
              </w:rPr>
              <w:t>农牧</w:t>
            </w:r>
            <w:r>
              <w:rPr>
                <w:rFonts w:hint="eastAsia"/>
                <w:color w:val="auto"/>
              </w:rPr>
              <w:t>局</w:t>
            </w:r>
          </w:p>
        </w:tc>
        <w:tc>
          <w:tcPr>
            <w:tcW w:w="1515" w:type="dxa"/>
            <w:noWrap w:val="0"/>
            <w:vAlign w:val="center"/>
          </w:tcPr>
          <w:p w14:paraId="130EA093">
            <w:pPr>
              <w:pStyle w:val="29"/>
              <w:bidi w:val="0"/>
              <w:rPr>
                <w:color w:val="auto"/>
              </w:rPr>
            </w:pPr>
            <w:r>
              <w:rPr>
                <w:color w:val="auto"/>
              </w:rPr>
              <w:t>局长</w:t>
            </w:r>
          </w:p>
        </w:tc>
        <w:tc>
          <w:tcPr>
            <w:tcW w:w="1076" w:type="dxa"/>
            <w:noWrap w:val="0"/>
            <w:vAlign w:val="center"/>
          </w:tcPr>
          <w:p w14:paraId="21193D7F">
            <w:pPr>
              <w:pStyle w:val="29"/>
              <w:bidi w:val="0"/>
              <w:rPr>
                <w:color w:val="auto"/>
              </w:rPr>
            </w:pPr>
            <w:r>
              <w:rPr>
                <w:rFonts w:hint="eastAsia"/>
                <w:color w:val="auto"/>
                <w:lang w:val="en-US" w:eastAsia="zh-CN"/>
              </w:rPr>
              <w:t>齐子群</w:t>
            </w:r>
          </w:p>
        </w:tc>
        <w:tc>
          <w:tcPr>
            <w:tcW w:w="1691" w:type="dxa"/>
            <w:noWrap w:val="0"/>
            <w:vAlign w:val="center"/>
          </w:tcPr>
          <w:p w14:paraId="53E1846B">
            <w:pPr>
              <w:pStyle w:val="29"/>
              <w:bidi w:val="0"/>
              <w:rPr>
                <w:color w:val="auto"/>
              </w:rPr>
            </w:pPr>
            <w:r>
              <w:rPr>
                <w:rFonts w:hint="eastAsia"/>
                <w:color w:val="auto"/>
                <w:lang w:val="en-US" w:eastAsia="zh-CN"/>
              </w:rPr>
              <w:t>13314705866</w:t>
            </w:r>
          </w:p>
        </w:tc>
      </w:tr>
      <w:tr w14:paraId="1F0066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54CBDC1">
            <w:pPr>
              <w:pStyle w:val="29"/>
              <w:bidi w:val="0"/>
              <w:rPr>
                <w:color w:val="auto"/>
              </w:rPr>
            </w:pPr>
          </w:p>
        </w:tc>
        <w:tc>
          <w:tcPr>
            <w:tcW w:w="1011" w:type="dxa"/>
            <w:vMerge w:val="continue"/>
            <w:noWrap w:val="0"/>
            <w:vAlign w:val="center"/>
          </w:tcPr>
          <w:p w14:paraId="55EB63EE">
            <w:pPr>
              <w:pStyle w:val="29"/>
              <w:bidi w:val="0"/>
              <w:rPr>
                <w:color w:val="auto"/>
              </w:rPr>
            </w:pPr>
          </w:p>
        </w:tc>
        <w:tc>
          <w:tcPr>
            <w:tcW w:w="1970" w:type="dxa"/>
            <w:noWrap w:val="0"/>
            <w:vAlign w:val="center"/>
          </w:tcPr>
          <w:p w14:paraId="05008AF6">
            <w:pPr>
              <w:pStyle w:val="29"/>
              <w:bidi w:val="0"/>
              <w:rPr>
                <w:color w:val="auto"/>
              </w:rPr>
            </w:pPr>
            <w:r>
              <w:rPr>
                <w:color w:val="auto"/>
              </w:rPr>
              <w:t>水利局</w:t>
            </w:r>
          </w:p>
        </w:tc>
        <w:tc>
          <w:tcPr>
            <w:tcW w:w="1515" w:type="dxa"/>
            <w:noWrap w:val="0"/>
            <w:vAlign w:val="center"/>
          </w:tcPr>
          <w:p w14:paraId="33035D8A">
            <w:pPr>
              <w:pStyle w:val="29"/>
              <w:bidi w:val="0"/>
              <w:rPr>
                <w:color w:val="auto"/>
              </w:rPr>
            </w:pPr>
            <w:r>
              <w:rPr>
                <w:rFonts w:hint="eastAsia"/>
                <w:color w:val="auto"/>
              </w:rPr>
              <w:t>局长</w:t>
            </w:r>
          </w:p>
        </w:tc>
        <w:tc>
          <w:tcPr>
            <w:tcW w:w="1076" w:type="dxa"/>
            <w:noWrap w:val="0"/>
            <w:vAlign w:val="center"/>
          </w:tcPr>
          <w:p w14:paraId="109A17A1">
            <w:pPr>
              <w:pStyle w:val="29"/>
              <w:bidi w:val="0"/>
              <w:rPr>
                <w:color w:val="auto"/>
              </w:rPr>
            </w:pPr>
            <w:r>
              <w:rPr>
                <w:rFonts w:hint="eastAsia"/>
                <w:color w:val="auto"/>
                <w:lang w:eastAsia="zh-CN"/>
              </w:rPr>
              <w:t>金</w:t>
            </w:r>
            <w:r>
              <w:rPr>
                <w:rFonts w:hint="eastAsia"/>
                <w:color w:val="auto"/>
                <w:lang w:val="en-US" w:eastAsia="zh-CN"/>
              </w:rPr>
              <w:t xml:space="preserve">  </w:t>
            </w:r>
            <w:r>
              <w:rPr>
                <w:rFonts w:hint="eastAsia"/>
                <w:color w:val="auto"/>
                <w:lang w:eastAsia="zh-CN"/>
              </w:rPr>
              <w:t>军</w:t>
            </w:r>
          </w:p>
        </w:tc>
        <w:tc>
          <w:tcPr>
            <w:tcW w:w="1691" w:type="dxa"/>
            <w:noWrap w:val="0"/>
            <w:vAlign w:val="center"/>
          </w:tcPr>
          <w:p w14:paraId="59AECEF8">
            <w:pPr>
              <w:pStyle w:val="29"/>
              <w:bidi w:val="0"/>
              <w:rPr>
                <w:color w:val="auto"/>
              </w:rPr>
            </w:pPr>
            <w:r>
              <w:rPr>
                <w:rFonts w:hint="eastAsia"/>
                <w:color w:val="auto"/>
                <w:lang w:val="en-US" w:eastAsia="zh-CN"/>
              </w:rPr>
              <w:t>15048066777</w:t>
            </w:r>
          </w:p>
        </w:tc>
      </w:tr>
      <w:tr w14:paraId="291994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29CE8BC3">
            <w:pPr>
              <w:pStyle w:val="29"/>
              <w:bidi w:val="0"/>
              <w:rPr>
                <w:color w:val="auto"/>
              </w:rPr>
            </w:pPr>
            <w:r>
              <w:rPr>
                <w:color w:val="auto"/>
              </w:rPr>
              <w:t>应急监测组</w:t>
            </w:r>
          </w:p>
        </w:tc>
        <w:tc>
          <w:tcPr>
            <w:tcW w:w="1011" w:type="dxa"/>
            <w:noWrap w:val="0"/>
            <w:vAlign w:val="center"/>
          </w:tcPr>
          <w:p w14:paraId="721A2A6D">
            <w:pPr>
              <w:pStyle w:val="29"/>
              <w:bidi w:val="0"/>
              <w:rPr>
                <w:color w:val="auto"/>
              </w:rPr>
            </w:pPr>
            <w:r>
              <w:rPr>
                <w:color w:val="auto"/>
              </w:rPr>
              <w:t>组长</w:t>
            </w:r>
          </w:p>
        </w:tc>
        <w:tc>
          <w:tcPr>
            <w:tcW w:w="1970" w:type="dxa"/>
            <w:noWrap w:val="0"/>
            <w:vAlign w:val="center"/>
          </w:tcPr>
          <w:p w14:paraId="194BF7F9">
            <w:pPr>
              <w:pStyle w:val="29"/>
              <w:bidi w:val="0"/>
              <w:rPr>
                <w:color w:val="auto"/>
              </w:rPr>
            </w:pPr>
            <w:r>
              <w:rPr>
                <w:rFonts w:hint="eastAsia"/>
                <w:color w:val="auto"/>
              </w:rPr>
              <w:t>生态环境分局</w:t>
            </w:r>
          </w:p>
        </w:tc>
        <w:tc>
          <w:tcPr>
            <w:tcW w:w="1515" w:type="dxa"/>
            <w:noWrap w:val="0"/>
            <w:vAlign w:val="center"/>
          </w:tcPr>
          <w:p w14:paraId="0EEF124C">
            <w:pPr>
              <w:pStyle w:val="29"/>
              <w:bidi w:val="0"/>
              <w:rPr>
                <w:rFonts w:hint="eastAsia"/>
                <w:color w:val="auto"/>
                <w:lang w:eastAsia="zh-Hans"/>
              </w:rPr>
            </w:pPr>
            <w:r>
              <w:rPr>
                <w:rFonts w:hint="eastAsia"/>
                <w:color w:val="auto"/>
              </w:rPr>
              <w:t>副</w:t>
            </w:r>
            <w:r>
              <w:rPr>
                <w:color w:val="auto"/>
              </w:rPr>
              <w:t>局长</w:t>
            </w:r>
          </w:p>
        </w:tc>
        <w:tc>
          <w:tcPr>
            <w:tcW w:w="1076" w:type="dxa"/>
            <w:noWrap w:val="0"/>
            <w:vAlign w:val="center"/>
          </w:tcPr>
          <w:p w14:paraId="5D5470F2">
            <w:pPr>
              <w:pStyle w:val="29"/>
              <w:bidi w:val="0"/>
              <w:rPr>
                <w:color w:val="auto"/>
                <w:lang w:eastAsia="zh-Hans"/>
              </w:rPr>
            </w:pPr>
            <w:r>
              <w:rPr>
                <w:rFonts w:hint="eastAsia"/>
                <w:color w:val="auto"/>
                <w:lang w:eastAsia="zh-CN"/>
              </w:rPr>
              <w:t>唐金泉</w:t>
            </w:r>
          </w:p>
        </w:tc>
        <w:tc>
          <w:tcPr>
            <w:tcW w:w="1691" w:type="dxa"/>
            <w:noWrap w:val="0"/>
            <w:vAlign w:val="center"/>
          </w:tcPr>
          <w:p w14:paraId="5C186839">
            <w:pPr>
              <w:pStyle w:val="29"/>
              <w:bidi w:val="0"/>
              <w:rPr>
                <w:color w:val="auto"/>
              </w:rPr>
            </w:pPr>
            <w:r>
              <w:rPr>
                <w:rFonts w:hint="eastAsia"/>
                <w:color w:val="auto"/>
                <w:lang w:val="en-US" w:eastAsia="zh-CN"/>
              </w:rPr>
              <w:t>18547099984</w:t>
            </w:r>
          </w:p>
        </w:tc>
      </w:tr>
      <w:tr w14:paraId="224157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7EDA527">
            <w:pPr>
              <w:pStyle w:val="29"/>
              <w:bidi w:val="0"/>
              <w:rPr>
                <w:color w:val="auto"/>
              </w:rPr>
            </w:pPr>
          </w:p>
        </w:tc>
        <w:tc>
          <w:tcPr>
            <w:tcW w:w="1011" w:type="dxa"/>
            <w:vMerge w:val="restart"/>
            <w:noWrap w:val="0"/>
            <w:vAlign w:val="center"/>
          </w:tcPr>
          <w:p w14:paraId="2F45DD00">
            <w:pPr>
              <w:pStyle w:val="29"/>
              <w:bidi w:val="0"/>
              <w:rPr>
                <w:color w:val="auto"/>
              </w:rPr>
            </w:pPr>
            <w:r>
              <w:rPr>
                <w:color w:val="auto"/>
              </w:rPr>
              <w:t>成员</w:t>
            </w:r>
          </w:p>
        </w:tc>
        <w:tc>
          <w:tcPr>
            <w:tcW w:w="1970" w:type="dxa"/>
            <w:noWrap w:val="0"/>
            <w:vAlign w:val="center"/>
          </w:tcPr>
          <w:p w14:paraId="480FBFE6">
            <w:pPr>
              <w:pStyle w:val="29"/>
              <w:bidi w:val="0"/>
              <w:rPr>
                <w:color w:val="auto"/>
              </w:rPr>
            </w:pPr>
            <w:r>
              <w:rPr>
                <w:color w:val="auto"/>
              </w:rPr>
              <w:t>农牧局</w:t>
            </w:r>
          </w:p>
        </w:tc>
        <w:tc>
          <w:tcPr>
            <w:tcW w:w="1515" w:type="dxa"/>
            <w:noWrap w:val="0"/>
            <w:vAlign w:val="center"/>
          </w:tcPr>
          <w:p w14:paraId="681CBAB7">
            <w:pPr>
              <w:pStyle w:val="29"/>
              <w:bidi w:val="0"/>
              <w:rPr>
                <w:color w:val="auto"/>
              </w:rPr>
            </w:pPr>
            <w:r>
              <w:rPr>
                <w:rFonts w:hint="eastAsia"/>
                <w:color w:val="auto"/>
              </w:rPr>
              <w:t>办公室主任</w:t>
            </w:r>
          </w:p>
        </w:tc>
        <w:tc>
          <w:tcPr>
            <w:tcW w:w="1076" w:type="dxa"/>
            <w:noWrap w:val="0"/>
            <w:vAlign w:val="center"/>
          </w:tcPr>
          <w:p w14:paraId="739E77E1">
            <w:pPr>
              <w:pStyle w:val="29"/>
              <w:bidi w:val="0"/>
              <w:rPr>
                <w:rFonts w:hint="eastAsia"/>
                <w:color w:val="auto"/>
                <w:lang w:val="en-US" w:eastAsia="zh-CN"/>
              </w:rPr>
            </w:pPr>
            <w:r>
              <w:rPr>
                <w:rFonts w:hint="eastAsia"/>
                <w:color w:val="auto"/>
                <w:lang w:val="en-US" w:eastAsia="zh-CN"/>
              </w:rPr>
              <w:t>吴延波</w:t>
            </w:r>
          </w:p>
        </w:tc>
        <w:tc>
          <w:tcPr>
            <w:tcW w:w="1691" w:type="dxa"/>
            <w:noWrap w:val="0"/>
            <w:vAlign w:val="center"/>
          </w:tcPr>
          <w:p w14:paraId="29A6DEF9">
            <w:pPr>
              <w:pStyle w:val="29"/>
              <w:bidi w:val="0"/>
              <w:rPr>
                <w:color w:val="auto"/>
              </w:rPr>
            </w:pPr>
            <w:r>
              <w:rPr>
                <w:rFonts w:hint="eastAsia"/>
                <w:color w:val="auto"/>
              </w:rPr>
              <w:t>13347001617</w:t>
            </w:r>
          </w:p>
        </w:tc>
      </w:tr>
      <w:tr w14:paraId="562903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16E9569D">
            <w:pPr>
              <w:pStyle w:val="29"/>
              <w:bidi w:val="0"/>
              <w:rPr>
                <w:color w:val="auto"/>
              </w:rPr>
            </w:pPr>
          </w:p>
        </w:tc>
        <w:tc>
          <w:tcPr>
            <w:tcW w:w="1011" w:type="dxa"/>
            <w:vMerge w:val="continue"/>
            <w:noWrap w:val="0"/>
            <w:vAlign w:val="center"/>
          </w:tcPr>
          <w:p w14:paraId="522DBD78">
            <w:pPr>
              <w:pStyle w:val="29"/>
              <w:bidi w:val="0"/>
              <w:rPr>
                <w:color w:val="auto"/>
              </w:rPr>
            </w:pPr>
          </w:p>
        </w:tc>
        <w:tc>
          <w:tcPr>
            <w:tcW w:w="1970" w:type="dxa"/>
            <w:noWrap w:val="0"/>
            <w:vAlign w:val="center"/>
          </w:tcPr>
          <w:p w14:paraId="565D7DDC">
            <w:pPr>
              <w:pStyle w:val="29"/>
              <w:bidi w:val="0"/>
              <w:rPr>
                <w:color w:val="auto"/>
              </w:rPr>
            </w:pPr>
            <w:r>
              <w:rPr>
                <w:color w:val="auto"/>
              </w:rPr>
              <w:t>水利局</w:t>
            </w:r>
          </w:p>
        </w:tc>
        <w:tc>
          <w:tcPr>
            <w:tcW w:w="1515" w:type="dxa"/>
            <w:noWrap w:val="0"/>
            <w:vAlign w:val="center"/>
          </w:tcPr>
          <w:p w14:paraId="71B86DAC">
            <w:pPr>
              <w:pStyle w:val="29"/>
              <w:bidi w:val="0"/>
              <w:rPr>
                <w:color w:val="auto"/>
              </w:rPr>
            </w:pPr>
            <w:r>
              <w:rPr>
                <w:rFonts w:hint="eastAsia"/>
                <w:color w:val="auto"/>
              </w:rPr>
              <w:t>办公室主任</w:t>
            </w:r>
          </w:p>
        </w:tc>
        <w:tc>
          <w:tcPr>
            <w:tcW w:w="1076" w:type="dxa"/>
            <w:noWrap w:val="0"/>
            <w:vAlign w:val="center"/>
          </w:tcPr>
          <w:p w14:paraId="7FDC80A6">
            <w:pPr>
              <w:pStyle w:val="29"/>
              <w:bidi w:val="0"/>
              <w:rPr>
                <w:rFonts w:hint="eastAsia"/>
                <w:color w:val="auto"/>
                <w:lang w:val="en-US" w:eastAsia="zh-CN"/>
              </w:rPr>
            </w:pPr>
            <w:r>
              <w:rPr>
                <w:rFonts w:hint="eastAsia"/>
                <w:color w:val="auto"/>
                <w:lang w:val="en-US" w:eastAsia="zh-CN"/>
              </w:rPr>
              <w:t>赵路遥</w:t>
            </w:r>
          </w:p>
        </w:tc>
        <w:tc>
          <w:tcPr>
            <w:tcW w:w="1691" w:type="dxa"/>
            <w:noWrap w:val="0"/>
            <w:vAlign w:val="center"/>
          </w:tcPr>
          <w:p w14:paraId="06F1AB99">
            <w:pPr>
              <w:pStyle w:val="29"/>
              <w:bidi w:val="0"/>
              <w:rPr>
                <w:color w:val="auto"/>
              </w:rPr>
            </w:pPr>
            <w:r>
              <w:rPr>
                <w:rFonts w:hint="eastAsia"/>
                <w:color w:val="auto"/>
              </w:rPr>
              <w:t>15647017535</w:t>
            </w:r>
          </w:p>
        </w:tc>
      </w:tr>
      <w:tr w14:paraId="13B033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4D29A650">
            <w:pPr>
              <w:pStyle w:val="29"/>
              <w:bidi w:val="0"/>
              <w:rPr>
                <w:color w:val="auto"/>
              </w:rPr>
            </w:pPr>
            <w:r>
              <w:rPr>
                <w:color w:val="auto"/>
              </w:rPr>
              <w:t>社会稳定组</w:t>
            </w:r>
          </w:p>
        </w:tc>
        <w:tc>
          <w:tcPr>
            <w:tcW w:w="1011" w:type="dxa"/>
            <w:noWrap w:val="0"/>
            <w:vAlign w:val="center"/>
          </w:tcPr>
          <w:p w14:paraId="7D7B7BF3">
            <w:pPr>
              <w:pStyle w:val="29"/>
              <w:bidi w:val="0"/>
              <w:rPr>
                <w:color w:val="auto"/>
              </w:rPr>
            </w:pPr>
            <w:r>
              <w:rPr>
                <w:color w:val="auto"/>
              </w:rPr>
              <w:t>组长</w:t>
            </w:r>
          </w:p>
        </w:tc>
        <w:tc>
          <w:tcPr>
            <w:tcW w:w="1970" w:type="dxa"/>
            <w:vMerge w:val="restart"/>
            <w:noWrap w:val="0"/>
            <w:vAlign w:val="center"/>
          </w:tcPr>
          <w:p w14:paraId="1C1B0297">
            <w:pPr>
              <w:pStyle w:val="29"/>
              <w:bidi w:val="0"/>
              <w:rPr>
                <w:color w:val="auto"/>
              </w:rPr>
            </w:pPr>
            <w:r>
              <w:rPr>
                <w:color w:val="auto"/>
              </w:rPr>
              <w:t>公安局</w:t>
            </w:r>
          </w:p>
        </w:tc>
        <w:tc>
          <w:tcPr>
            <w:tcW w:w="1515" w:type="dxa"/>
            <w:noWrap w:val="0"/>
            <w:vAlign w:val="center"/>
          </w:tcPr>
          <w:p w14:paraId="59DB0386">
            <w:pPr>
              <w:pStyle w:val="29"/>
              <w:bidi w:val="0"/>
              <w:rPr>
                <w:color w:val="auto"/>
              </w:rPr>
            </w:pPr>
            <w:r>
              <w:rPr>
                <w:rFonts w:hint="eastAsia"/>
                <w:color w:val="auto"/>
              </w:rPr>
              <w:t>副局长</w:t>
            </w:r>
          </w:p>
        </w:tc>
        <w:tc>
          <w:tcPr>
            <w:tcW w:w="1076" w:type="dxa"/>
            <w:noWrap w:val="0"/>
            <w:vAlign w:val="center"/>
          </w:tcPr>
          <w:p w14:paraId="689711B4">
            <w:pPr>
              <w:pStyle w:val="29"/>
              <w:bidi w:val="0"/>
              <w:rPr>
                <w:rFonts w:hint="eastAsia"/>
                <w:color w:val="auto"/>
                <w:lang w:val="en-US" w:eastAsia="zh-CN"/>
              </w:rPr>
            </w:pPr>
            <w:r>
              <w:rPr>
                <w:rFonts w:hint="eastAsia"/>
                <w:color w:val="auto"/>
                <w:lang w:val="en-US" w:eastAsia="zh-CN"/>
              </w:rPr>
              <w:t>王伟</w:t>
            </w:r>
          </w:p>
        </w:tc>
        <w:tc>
          <w:tcPr>
            <w:tcW w:w="1691" w:type="dxa"/>
            <w:noWrap w:val="0"/>
            <w:vAlign w:val="center"/>
          </w:tcPr>
          <w:p w14:paraId="48AC22AF">
            <w:pPr>
              <w:pStyle w:val="29"/>
              <w:bidi w:val="0"/>
              <w:rPr>
                <w:rFonts w:hint="default"/>
                <w:color w:val="auto"/>
                <w:lang w:val="en-US"/>
              </w:rPr>
            </w:pPr>
            <w:r>
              <w:rPr>
                <w:rFonts w:hint="eastAsia"/>
                <w:color w:val="auto"/>
                <w:lang w:val="en-US" w:eastAsia="zh-CN"/>
              </w:rPr>
              <w:t>13347040833</w:t>
            </w:r>
          </w:p>
        </w:tc>
      </w:tr>
      <w:tr w14:paraId="3A19E8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C692243">
            <w:pPr>
              <w:pStyle w:val="29"/>
              <w:bidi w:val="0"/>
              <w:rPr>
                <w:color w:val="auto"/>
              </w:rPr>
            </w:pPr>
          </w:p>
        </w:tc>
        <w:tc>
          <w:tcPr>
            <w:tcW w:w="1011" w:type="dxa"/>
            <w:noWrap w:val="0"/>
            <w:vAlign w:val="center"/>
          </w:tcPr>
          <w:p w14:paraId="2A15FA76">
            <w:pPr>
              <w:pStyle w:val="29"/>
              <w:bidi w:val="0"/>
              <w:rPr>
                <w:color w:val="auto"/>
              </w:rPr>
            </w:pPr>
            <w:r>
              <w:rPr>
                <w:color w:val="auto"/>
              </w:rPr>
              <w:t>副组长</w:t>
            </w:r>
          </w:p>
        </w:tc>
        <w:tc>
          <w:tcPr>
            <w:tcW w:w="1970" w:type="dxa"/>
            <w:vMerge w:val="continue"/>
            <w:noWrap w:val="0"/>
            <w:vAlign w:val="center"/>
          </w:tcPr>
          <w:p w14:paraId="634D437E">
            <w:pPr>
              <w:pStyle w:val="29"/>
              <w:bidi w:val="0"/>
              <w:rPr>
                <w:color w:val="auto"/>
              </w:rPr>
            </w:pPr>
          </w:p>
        </w:tc>
        <w:tc>
          <w:tcPr>
            <w:tcW w:w="1515" w:type="dxa"/>
            <w:noWrap w:val="0"/>
            <w:vAlign w:val="center"/>
          </w:tcPr>
          <w:p w14:paraId="4EA41765">
            <w:pPr>
              <w:pStyle w:val="29"/>
              <w:bidi w:val="0"/>
              <w:rPr>
                <w:rFonts w:hint="default"/>
                <w:color w:val="auto"/>
                <w:lang w:val="en-US"/>
              </w:rPr>
            </w:pPr>
            <w:r>
              <w:rPr>
                <w:rFonts w:hint="eastAsia"/>
                <w:color w:val="auto"/>
                <w:lang w:val="en-US" w:eastAsia="zh-CN"/>
              </w:rPr>
              <w:t>治安管理大队</w:t>
            </w:r>
          </w:p>
        </w:tc>
        <w:tc>
          <w:tcPr>
            <w:tcW w:w="1076" w:type="dxa"/>
            <w:noWrap w:val="0"/>
            <w:vAlign w:val="center"/>
          </w:tcPr>
          <w:p w14:paraId="27DC3BD0">
            <w:pPr>
              <w:pStyle w:val="29"/>
              <w:bidi w:val="0"/>
              <w:rPr>
                <w:color w:val="auto"/>
              </w:rPr>
            </w:pPr>
            <w:r>
              <w:rPr>
                <w:rFonts w:hint="eastAsia"/>
                <w:color w:val="auto"/>
                <w:lang w:val="en-US" w:eastAsia="zh-CN"/>
              </w:rPr>
              <w:t>段晓晨</w:t>
            </w:r>
          </w:p>
        </w:tc>
        <w:tc>
          <w:tcPr>
            <w:tcW w:w="1691" w:type="dxa"/>
            <w:shd w:val="clear" w:color="auto" w:fill="auto"/>
            <w:noWrap w:val="0"/>
            <w:vAlign w:val="center"/>
          </w:tcPr>
          <w:p w14:paraId="23645D4A">
            <w:pPr>
              <w:pStyle w:val="29"/>
              <w:bidi w:val="0"/>
              <w:rPr>
                <w:rFonts w:hint="default"/>
                <w:color w:val="auto"/>
                <w:lang w:val="en-US" w:eastAsia="zh-CN"/>
              </w:rPr>
            </w:pPr>
            <w:r>
              <w:rPr>
                <w:rFonts w:hint="eastAsia"/>
                <w:color w:val="auto"/>
                <w:lang w:val="en-US" w:eastAsia="zh-CN"/>
              </w:rPr>
              <w:t>13948405508</w:t>
            </w:r>
          </w:p>
        </w:tc>
      </w:tr>
      <w:tr w14:paraId="29383E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6ECB114B">
            <w:pPr>
              <w:pStyle w:val="29"/>
              <w:bidi w:val="0"/>
              <w:rPr>
                <w:color w:val="auto"/>
              </w:rPr>
            </w:pPr>
            <w:r>
              <w:rPr>
                <w:color w:val="auto"/>
              </w:rPr>
              <w:t>应急保障组</w:t>
            </w:r>
          </w:p>
        </w:tc>
        <w:tc>
          <w:tcPr>
            <w:tcW w:w="1011" w:type="dxa"/>
            <w:noWrap w:val="0"/>
            <w:vAlign w:val="center"/>
          </w:tcPr>
          <w:p w14:paraId="5A498309">
            <w:pPr>
              <w:pStyle w:val="29"/>
              <w:bidi w:val="0"/>
              <w:rPr>
                <w:color w:val="auto"/>
              </w:rPr>
            </w:pPr>
            <w:r>
              <w:rPr>
                <w:color w:val="auto"/>
              </w:rPr>
              <w:t>组长</w:t>
            </w:r>
          </w:p>
        </w:tc>
        <w:tc>
          <w:tcPr>
            <w:tcW w:w="1970" w:type="dxa"/>
            <w:noWrap w:val="0"/>
            <w:vAlign w:val="center"/>
          </w:tcPr>
          <w:p w14:paraId="5DBDF917">
            <w:pPr>
              <w:pStyle w:val="29"/>
              <w:bidi w:val="0"/>
              <w:rPr>
                <w:color w:val="auto"/>
              </w:rPr>
            </w:pPr>
            <w:r>
              <w:rPr>
                <w:color w:val="auto"/>
              </w:rPr>
              <w:t>人民政府</w:t>
            </w:r>
          </w:p>
        </w:tc>
        <w:tc>
          <w:tcPr>
            <w:tcW w:w="1515" w:type="dxa"/>
            <w:noWrap w:val="0"/>
            <w:vAlign w:val="center"/>
          </w:tcPr>
          <w:p w14:paraId="6AD74A04">
            <w:pPr>
              <w:pStyle w:val="29"/>
              <w:bidi w:val="0"/>
              <w:rPr>
                <w:color w:val="auto"/>
              </w:rPr>
            </w:pPr>
            <w:r>
              <w:rPr>
                <w:color w:val="auto"/>
              </w:rPr>
              <w:t>办公室主任</w:t>
            </w:r>
          </w:p>
        </w:tc>
        <w:tc>
          <w:tcPr>
            <w:tcW w:w="1076" w:type="dxa"/>
            <w:noWrap w:val="0"/>
            <w:vAlign w:val="center"/>
          </w:tcPr>
          <w:p w14:paraId="0E1B9DBF">
            <w:pPr>
              <w:pStyle w:val="29"/>
              <w:bidi w:val="0"/>
              <w:rPr>
                <w:color w:val="auto"/>
              </w:rPr>
            </w:pPr>
            <w:r>
              <w:rPr>
                <w:rFonts w:hint="eastAsia"/>
                <w:color w:val="auto"/>
                <w:lang w:eastAsia="zh-CN"/>
              </w:rPr>
              <w:t>胥继良</w:t>
            </w:r>
          </w:p>
        </w:tc>
        <w:tc>
          <w:tcPr>
            <w:tcW w:w="1691" w:type="dxa"/>
            <w:noWrap w:val="0"/>
            <w:vAlign w:val="center"/>
          </w:tcPr>
          <w:p w14:paraId="1FE95B83">
            <w:pPr>
              <w:pStyle w:val="29"/>
              <w:bidi w:val="0"/>
              <w:rPr>
                <w:color w:val="auto"/>
              </w:rPr>
            </w:pPr>
          </w:p>
        </w:tc>
      </w:tr>
      <w:tr w14:paraId="713F37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C9E865A">
            <w:pPr>
              <w:pStyle w:val="29"/>
              <w:bidi w:val="0"/>
              <w:rPr>
                <w:color w:val="auto"/>
              </w:rPr>
            </w:pPr>
          </w:p>
        </w:tc>
        <w:tc>
          <w:tcPr>
            <w:tcW w:w="1011" w:type="dxa"/>
            <w:noWrap w:val="0"/>
            <w:vAlign w:val="center"/>
          </w:tcPr>
          <w:p w14:paraId="22105065">
            <w:pPr>
              <w:pStyle w:val="29"/>
              <w:bidi w:val="0"/>
              <w:rPr>
                <w:color w:val="auto"/>
              </w:rPr>
            </w:pPr>
            <w:r>
              <w:rPr>
                <w:color w:val="auto"/>
              </w:rPr>
              <w:t>副组长</w:t>
            </w:r>
          </w:p>
        </w:tc>
        <w:tc>
          <w:tcPr>
            <w:tcW w:w="1970" w:type="dxa"/>
            <w:noWrap w:val="0"/>
            <w:vAlign w:val="center"/>
          </w:tcPr>
          <w:p w14:paraId="3F504A54">
            <w:pPr>
              <w:pStyle w:val="29"/>
              <w:bidi w:val="0"/>
              <w:rPr>
                <w:color w:val="auto"/>
              </w:rPr>
            </w:pPr>
            <w:r>
              <w:rPr>
                <w:color w:val="auto"/>
              </w:rPr>
              <w:t>财政局</w:t>
            </w:r>
          </w:p>
        </w:tc>
        <w:tc>
          <w:tcPr>
            <w:tcW w:w="1515" w:type="dxa"/>
            <w:noWrap w:val="0"/>
            <w:vAlign w:val="center"/>
          </w:tcPr>
          <w:p w14:paraId="14A20068">
            <w:pPr>
              <w:pStyle w:val="29"/>
              <w:bidi w:val="0"/>
              <w:rPr>
                <w:color w:val="auto"/>
              </w:rPr>
            </w:pPr>
            <w:r>
              <w:rPr>
                <w:color w:val="auto"/>
              </w:rPr>
              <w:t>局长</w:t>
            </w:r>
          </w:p>
        </w:tc>
        <w:tc>
          <w:tcPr>
            <w:tcW w:w="1076" w:type="dxa"/>
            <w:shd w:val="clear" w:color="auto" w:fill="auto"/>
            <w:noWrap w:val="0"/>
            <w:vAlign w:val="center"/>
          </w:tcPr>
          <w:p w14:paraId="78A13AF0">
            <w:pPr>
              <w:pStyle w:val="29"/>
              <w:bidi w:val="0"/>
              <w:rPr>
                <w:color w:val="auto"/>
                <w:lang w:val="en-US" w:eastAsia="zh-CN"/>
              </w:rPr>
            </w:pPr>
            <w:r>
              <w:rPr>
                <w:rFonts w:hint="eastAsia"/>
                <w:color w:val="auto"/>
                <w:lang w:val="en-US" w:eastAsia="zh-CN"/>
              </w:rPr>
              <w:t>王宏江</w:t>
            </w:r>
          </w:p>
        </w:tc>
        <w:tc>
          <w:tcPr>
            <w:tcW w:w="1691" w:type="dxa"/>
            <w:shd w:val="clear" w:color="auto" w:fill="auto"/>
            <w:noWrap w:val="0"/>
            <w:vAlign w:val="center"/>
          </w:tcPr>
          <w:p w14:paraId="1ADD9C0A">
            <w:pPr>
              <w:pStyle w:val="29"/>
              <w:bidi w:val="0"/>
              <w:rPr>
                <w:color w:val="auto"/>
                <w:lang w:val="en-US" w:eastAsia="zh-CN"/>
              </w:rPr>
            </w:pPr>
            <w:r>
              <w:rPr>
                <w:rFonts w:hint="eastAsia"/>
                <w:color w:val="auto"/>
                <w:lang w:val="en-US" w:eastAsia="zh-CN"/>
              </w:rPr>
              <w:t>15847029555</w:t>
            </w:r>
          </w:p>
        </w:tc>
      </w:tr>
      <w:tr w14:paraId="58FF9A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D8EA7DE">
            <w:pPr>
              <w:pStyle w:val="29"/>
              <w:bidi w:val="0"/>
              <w:rPr>
                <w:color w:val="auto"/>
              </w:rPr>
            </w:pPr>
          </w:p>
        </w:tc>
        <w:tc>
          <w:tcPr>
            <w:tcW w:w="1011" w:type="dxa"/>
            <w:noWrap w:val="0"/>
            <w:vAlign w:val="center"/>
          </w:tcPr>
          <w:p w14:paraId="065FAFBE">
            <w:pPr>
              <w:pStyle w:val="29"/>
              <w:bidi w:val="0"/>
              <w:rPr>
                <w:color w:val="auto"/>
              </w:rPr>
            </w:pPr>
            <w:r>
              <w:rPr>
                <w:color w:val="auto"/>
              </w:rPr>
              <w:t>成员</w:t>
            </w:r>
          </w:p>
        </w:tc>
        <w:tc>
          <w:tcPr>
            <w:tcW w:w="1970" w:type="dxa"/>
            <w:noWrap w:val="0"/>
            <w:vAlign w:val="center"/>
          </w:tcPr>
          <w:p w14:paraId="6D00343F">
            <w:pPr>
              <w:pStyle w:val="29"/>
              <w:bidi w:val="0"/>
              <w:rPr>
                <w:color w:val="auto"/>
              </w:rPr>
            </w:pPr>
            <w:r>
              <w:rPr>
                <w:color w:val="auto"/>
              </w:rPr>
              <w:t>发展改革委</w:t>
            </w:r>
          </w:p>
        </w:tc>
        <w:tc>
          <w:tcPr>
            <w:tcW w:w="1515" w:type="dxa"/>
            <w:noWrap w:val="0"/>
            <w:vAlign w:val="center"/>
          </w:tcPr>
          <w:p w14:paraId="022F9F8F">
            <w:pPr>
              <w:pStyle w:val="29"/>
              <w:bidi w:val="0"/>
              <w:rPr>
                <w:color w:val="auto"/>
              </w:rPr>
            </w:pPr>
            <w:r>
              <w:rPr>
                <w:color w:val="auto"/>
              </w:rPr>
              <w:t>主任</w:t>
            </w:r>
          </w:p>
        </w:tc>
        <w:tc>
          <w:tcPr>
            <w:tcW w:w="1076" w:type="dxa"/>
            <w:noWrap w:val="0"/>
            <w:vAlign w:val="center"/>
          </w:tcPr>
          <w:p w14:paraId="278A7574">
            <w:pPr>
              <w:pStyle w:val="29"/>
              <w:bidi w:val="0"/>
              <w:rPr>
                <w:color w:val="auto"/>
              </w:rPr>
            </w:pPr>
            <w:r>
              <w:rPr>
                <w:rFonts w:hint="eastAsia"/>
                <w:color w:val="auto"/>
                <w:lang w:eastAsia="zh-CN"/>
              </w:rPr>
              <w:t>辛群泰</w:t>
            </w:r>
          </w:p>
        </w:tc>
        <w:tc>
          <w:tcPr>
            <w:tcW w:w="1691" w:type="dxa"/>
            <w:shd w:val="clear" w:color="auto" w:fill="auto"/>
            <w:noWrap w:val="0"/>
            <w:vAlign w:val="center"/>
          </w:tcPr>
          <w:p w14:paraId="7044646C">
            <w:pPr>
              <w:pStyle w:val="29"/>
              <w:bidi w:val="0"/>
              <w:rPr>
                <w:rFonts w:hint="default"/>
                <w:color w:val="auto"/>
                <w:lang w:val="en-US" w:eastAsia="zh-CN"/>
              </w:rPr>
            </w:pPr>
            <w:r>
              <w:rPr>
                <w:rFonts w:hint="eastAsia"/>
                <w:color w:val="auto"/>
                <w:lang w:val="en-US" w:eastAsia="zh-CN"/>
              </w:rPr>
              <w:t>15547007777</w:t>
            </w:r>
          </w:p>
        </w:tc>
      </w:tr>
      <w:tr w14:paraId="1E6F59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AFC7336">
            <w:pPr>
              <w:pStyle w:val="29"/>
              <w:bidi w:val="0"/>
              <w:rPr>
                <w:color w:val="auto"/>
              </w:rPr>
            </w:pPr>
          </w:p>
        </w:tc>
        <w:tc>
          <w:tcPr>
            <w:tcW w:w="1011" w:type="dxa"/>
            <w:noWrap w:val="0"/>
            <w:vAlign w:val="center"/>
          </w:tcPr>
          <w:p w14:paraId="03035424">
            <w:pPr>
              <w:pStyle w:val="29"/>
              <w:bidi w:val="0"/>
              <w:rPr>
                <w:color w:val="auto"/>
              </w:rPr>
            </w:pPr>
            <w:r>
              <w:rPr>
                <w:color w:val="auto"/>
              </w:rPr>
              <w:t>成员</w:t>
            </w:r>
          </w:p>
        </w:tc>
        <w:tc>
          <w:tcPr>
            <w:tcW w:w="1970" w:type="dxa"/>
            <w:noWrap w:val="0"/>
            <w:vAlign w:val="center"/>
          </w:tcPr>
          <w:p w14:paraId="0A2A33F4">
            <w:pPr>
              <w:pStyle w:val="29"/>
              <w:bidi w:val="0"/>
              <w:rPr>
                <w:color w:val="auto"/>
              </w:rPr>
            </w:pPr>
            <w:r>
              <w:rPr>
                <w:color w:val="auto"/>
              </w:rPr>
              <w:t>工业和信息化局</w:t>
            </w:r>
          </w:p>
        </w:tc>
        <w:tc>
          <w:tcPr>
            <w:tcW w:w="1515" w:type="dxa"/>
            <w:noWrap w:val="0"/>
            <w:vAlign w:val="center"/>
          </w:tcPr>
          <w:p w14:paraId="332A19E7">
            <w:pPr>
              <w:pStyle w:val="29"/>
              <w:bidi w:val="0"/>
              <w:rPr>
                <w:color w:val="auto"/>
              </w:rPr>
            </w:pPr>
            <w:r>
              <w:rPr>
                <w:color w:val="auto"/>
              </w:rPr>
              <w:t>局长</w:t>
            </w:r>
          </w:p>
        </w:tc>
        <w:tc>
          <w:tcPr>
            <w:tcW w:w="1076" w:type="dxa"/>
            <w:noWrap w:val="0"/>
            <w:vAlign w:val="center"/>
          </w:tcPr>
          <w:p w14:paraId="23CDC86C">
            <w:pPr>
              <w:pStyle w:val="29"/>
              <w:bidi w:val="0"/>
              <w:rPr>
                <w:color w:val="auto"/>
              </w:rPr>
            </w:pPr>
            <w:r>
              <w:rPr>
                <w:rFonts w:hint="eastAsia"/>
                <w:color w:val="auto"/>
                <w:lang w:val="en-US" w:eastAsia="zh-CN"/>
              </w:rPr>
              <w:t>刘国财</w:t>
            </w:r>
          </w:p>
        </w:tc>
        <w:tc>
          <w:tcPr>
            <w:tcW w:w="1691" w:type="dxa"/>
            <w:noWrap w:val="0"/>
            <w:vAlign w:val="center"/>
          </w:tcPr>
          <w:p w14:paraId="4D2C5F29">
            <w:pPr>
              <w:pStyle w:val="29"/>
              <w:bidi w:val="0"/>
              <w:rPr>
                <w:color w:val="auto"/>
              </w:rPr>
            </w:pPr>
            <w:r>
              <w:rPr>
                <w:rFonts w:hint="eastAsia"/>
                <w:color w:val="auto"/>
                <w:lang w:val="en-US" w:eastAsia="zh-CN"/>
              </w:rPr>
              <w:t>15335602277</w:t>
            </w:r>
          </w:p>
        </w:tc>
      </w:tr>
      <w:tr w14:paraId="314ED4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BE68021">
            <w:pPr>
              <w:pStyle w:val="29"/>
              <w:bidi w:val="0"/>
              <w:rPr>
                <w:color w:val="auto"/>
              </w:rPr>
            </w:pPr>
          </w:p>
        </w:tc>
        <w:tc>
          <w:tcPr>
            <w:tcW w:w="1011" w:type="dxa"/>
            <w:noWrap w:val="0"/>
            <w:vAlign w:val="center"/>
          </w:tcPr>
          <w:p w14:paraId="0066A9E5">
            <w:pPr>
              <w:pStyle w:val="29"/>
              <w:bidi w:val="0"/>
              <w:rPr>
                <w:color w:val="auto"/>
              </w:rPr>
            </w:pPr>
            <w:r>
              <w:rPr>
                <w:color w:val="auto"/>
              </w:rPr>
              <w:t>成员</w:t>
            </w:r>
          </w:p>
        </w:tc>
        <w:tc>
          <w:tcPr>
            <w:tcW w:w="1970" w:type="dxa"/>
            <w:noWrap w:val="0"/>
            <w:vAlign w:val="center"/>
          </w:tcPr>
          <w:p w14:paraId="28730200">
            <w:pPr>
              <w:pStyle w:val="29"/>
              <w:bidi w:val="0"/>
              <w:rPr>
                <w:color w:val="auto"/>
              </w:rPr>
            </w:pPr>
            <w:r>
              <w:rPr>
                <w:color w:val="auto"/>
              </w:rPr>
              <w:t>民政局</w:t>
            </w:r>
          </w:p>
        </w:tc>
        <w:tc>
          <w:tcPr>
            <w:tcW w:w="1515" w:type="dxa"/>
            <w:noWrap w:val="0"/>
            <w:vAlign w:val="center"/>
          </w:tcPr>
          <w:p w14:paraId="15BA4CCB">
            <w:pPr>
              <w:pStyle w:val="29"/>
              <w:bidi w:val="0"/>
              <w:rPr>
                <w:color w:val="auto"/>
              </w:rPr>
            </w:pPr>
            <w:r>
              <w:rPr>
                <w:color w:val="auto"/>
              </w:rPr>
              <w:t>局长</w:t>
            </w:r>
          </w:p>
        </w:tc>
        <w:tc>
          <w:tcPr>
            <w:tcW w:w="1076" w:type="dxa"/>
            <w:noWrap w:val="0"/>
            <w:vAlign w:val="center"/>
          </w:tcPr>
          <w:p w14:paraId="7E660276">
            <w:pPr>
              <w:pStyle w:val="29"/>
              <w:bidi w:val="0"/>
              <w:rPr>
                <w:color w:val="auto"/>
              </w:rPr>
            </w:pPr>
            <w:r>
              <w:rPr>
                <w:rFonts w:hint="eastAsia"/>
                <w:color w:val="auto"/>
                <w:lang w:val="en-US" w:eastAsia="zh-CN"/>
              </w:rPr>
              <w:t>刘爱兵</w:t>
            </w:r>
          </w:p>
        </w:tc>
        <w:tc>
          <w:tcPr>
            <w:tcW w:w="1691" w:type="dxa"/>
            <w:noWrap w:val="0"/>
            <w:vAlign w:val="center"/>
          </w:tcPr>
          <w:p w14:paraId="2215A631">
            <w:pPr>
              <w:pStyle w:val="29"/>
              <w:bidi w:val="0"/>
              <w:rPr>
                <w:color w:val="auto"/>
              </w:rPr>
            </w:pPr>
            <w:r>
              <w:rPr>
                <w:rFonts w:hint="eastAsia"/>
                <w:color w:val="auto"/>
                <w:lang w:val="en-US" w:eastAsia="zh-CN"/>
              </w:rPr>
              <w:t>13347009817</w:t>
            </w:r>
          </w:p>
        </w:tc>
      </w:tr>
      <w:tr w14:paraId="3E9874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3642BE52">
            <w:pPr>
              <w:pStyle w:val="29"/>
              <w:bidi w:val="0"/>
              <w:rPr>
                <w:color w:val="auto"/>
              </w:rPr>
            </w:pPr>
          </w:p>
        </w:tc>
        <w:tc>
          <w:tcPr>
            <w:tcW w:w="1011" w:type="dxa"/>
            <w:noWrap w:val="0"/>
            <w:vAlign w:val="center"/>
          </w:tcPr>
          <w:p w14:paraId="3FA4C5CA">
            <w:pPr>
              <w:pStyle w:val="29"/>
              <w:bidi w:val="0"/>
              <w:rPr>
                <w:color w:val="auto"/>
              </w:rPr>
            </w:pPr>
            <w:r>
              <w:rPr>
                <w:color w:val="auto"/>
              </w:rPr>
              <w:t>成员</w:t>
            </w:r>
          </w:p>
        </w:tc>
        <w:tc>
          <w:tcPr>
            <w:tcW w:w="1970" w:type="dxa"/>
            <w:noWrap w:val="0"/>
            <w:vAlign w:val="center"/>
          </w:tcPr>
          <w:p w14:paraId="5041BB39">
            <w:pPr>
              <w:pStyle w:val="29"/>
              <w:bidi w:val="0"/>
              <w:rPr>
                <w:color w:val="auto"/>
              </w:rPr>
            </w:pPr>
            <w:r>
              <w:rPr>
                <w:color w:val="auto"/>
              </w:rPr>
              <w:t>住房</w:t>
            </w:r>
            <w:r>
              <w:rPr>
                <w:rFonts w:hint="eastAsia"/>
                <w:color w:val="auto"/>
              </w:rPr>
              <w:t>和</w:t>
            </w:r>
            <w:r>
              <w:rPr>
                <w:color w:val="auto"/>
              </w:rPr>
              <w:t>城乡建设局</w:t>
            </w:r>
          </w:p>
        </w:tc>
        <w:tc>
          <w:tcPr>
            <w:tcW w:w="1515" w:type="dxa"/>
            <w:noWrap w:val="0"/>
            <w:vAlign w:val="center"/>
          </w:tcPr>
          <w:p w14:paraId="565280BB">
            <w:pPr>
              <w:pStyle w:val="29"/>
              <w:bidi w:val="0"/>
              <w:rPr>
                <w:color w:val="auto"/>
              </w:rPr>
            </w:pPr>
            <w:r>
              <w:rPr>
                <w:color w:val="auto"/>
              </w:rPr>
              <w:t>局长</w:t>
            </w:r>
          </w:p>
        </w:tc>
        <w:tc>
          <w:tcPr>
            <w:tcW w:w="1076" w:type="dxa"/>
            <w:noWrap w:val="0"/>
            <w:vAlign w:val="center"/>
          </w:tcPr>
          <w:p w14:paraId="006D9027">
            <w:pPr>
              <w:pStyle w:val="29"/>
              <w:bidi w:val="0"/>
              <w:rPr>
                <w:color w:val="auto"/>
              </w:rPr>
            </w:pPr>
            <w:r>
              <w:rPr>
                <w:rFonts w:hint="eastAsia"/>
                <w:color w:val="auto"/>
                <w:lang w:val="en-US" w:eastAsia="zh-CN"/>
              </w:rPr>
              <w:t>张金武</w:t>
            </w:r>
          </w:p>
        </w:tc>
        <w:tc>
          <w:tcPr>
            <w:tcW w:w="1691" w:type="dxa"/>
            <w:noWrap w:val="0"/>
            <w:vAlign w:val="center"/>
          </w:tcPr>
          <w:p w14:paraId="665AA425">
            <w:pPr>
              <w:pStyle w:val="29"/>
              <w:bidi w:val="0"/>
              <w:rPr>
                <w:color w:val="auto"/>
              </w:rPr>
            </w:pPr>
            <w:r>
              <w:rPr>
                <w:rFonts w:hint="eastAsia"/>
                <w:color w:val="auto"/>
                <w:lang w:val="en-US" w:eastAsia="zh-CN"/>
              </w:rPr>
              <w:t>15104937999</w:t>
            </w:r>
          </w:p>
        </w:tc>
      </w:tr>
      <w:tr w14:paraId="62A628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7823DB2">
            <w:pPr>
              <w:pStyle w:val="29"/>
              <w:bidi w:val="0"/>
              <w:rPr>
                <w:color w:val="auto"/>
              </w:rPr>
            </w:pPr>
          </w:p>
        </w:tc>
        <w:tc>
          <w:tcPr>
            <w:tcW w:w="1011" w:type="dxa"/>
            <w:noWrap w:val="0"/>
            <w:vAlign w:val="center"/>
          </w:tcPr>
          <w:p w14:paraId="5305BA87">
            <w:pPr>
              <w:pStyle w:val="29"/>
              <w:bidi w:val="0"/>
              <w:rPr>
                <w:color w:val="auto"/>
              </w:rPr>
            </w:pPr>
            <w:r>
              <w:rPr>
                <w:color w:val="auto"/>
              </w:rPr>
              <w:t>成员</w:t>
            </w:r>
          </w:p>
        </w:tc>
        <w:tc>
          <w:tcPr>
            <w:tcW w:w="1970" w:type="dxa"/>
            <w:noWrap w:val="0"/>
            <w:vAlign w:val="center"/>
          </w:tcPr>
          <w:p w14:paraId="7A2D432D">
            <w:pPr>
              <w:pStyle w:val="29"/>
              <w:bidi w:val="0"/>
              <w:rPr>
                <w:color w:val="auto"/>
              </w:rPr>
            </w:pPr>
            <w:r>
              <w:rPr>
                <w:color w:val="auto"/>
              </w:rPr>
              <w:t>交通运输局</w:t>
            </w:r>
          </w:p>
        </w:tc>
        <w:tc>
          <w:tcPr>
            <w:tcW w:w="1515" w:type="dxa"/>
            <w:noWrap w:val="0"/>
            <w:vAlign w:val="center"/>
          </w:tcPr>
          <w:p w14:paraId="1F2D9254">
            <w:pPr>
              <w:pStyle w:val="29"/>
              <w:bidi w:val="0"/>
              <w:rPr>
                <w:color w:val="auto"/>
              </w:rPr>
            </w:pPr>
            <w:r>
              <w:rPr>
                <w:color w:val="auto"/>
              </w:rPr>
              <w:t>局长</w:t>
            </w:r>
          </w:p>
        </w:tc>
        <w:tc>
          <w:tcPr>
            <w:tcW w:w="1076" w:type="dxa"/>
            <w:noWrap w:val="0"/>
            <w:vAlign w:val="center"/>
          </w:tcPr>
          <w:p w14:paraId="12916A5D">
            <w:pPr>
              <w:pStyle w:val="29"/>
              <w:bidi w:val="0"/>
              <w:rPr>
                <w:color w:val="auto"/>
              </w:rPr>
            </w:pPr>
            <w:r>
              <w:rPr>
                <w:rFonts w:hint="eastAsia"/>
                <w:color w:val="auto"/>
                <w:lang w:val="en-US" w:eastAsia="zh-CN"/>
              </w:rPr>
              <w:t>李树崴</w:t>
            </w:r>
          </w:p>
        </w:tc>
        <w:tc>
          <w:tcPr>
            <w:tcW w:w="1691" w:type="dxa"/>
            <w:noWrap w:val="0"/>
            <w:vAlign w:val="center"/>
          </w:tcPr>
          <w:p w14:paraId="0C982188">
            <w:pPr>
              <w:pStyle w:val="29"/>
              <w:bidi w:val="0"/>
              <w:rPr>
                <w:color w:val="auto"/>
              </w:rPr>
            </w:pPr>
            <w:r>
              <w:rPr>
                <w:rFonts w:hint="eastAsia"/>
                <w:color w:val="auto"/>
                <w:lang w:val="en-US" w:eastAsia="zh-CN"/>
              </w:rPr>
              <w:t>13847033000</w:t>
            </w:r>
          </w:p>
        </w:tc>
      </w:tr>
      <w:tr w14:paraId="57DDCE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5461147C">
            <w:pPr>
              <w:pStyle w:val="29"/>
              <w:bidi w:val="0"/>
              <w:rPr>
                <w:color w:val="auto"/>
              </w:rPr>
            </w:pPr>
            <w:r>
              <w:rPr>
                <w:color w:val="auto"/>
              </w:rPr>
              <w:t>医疗救护组</w:t>
            </w:r>
          </w:p>
        </w:tc>
        <w:tc>
          <w:tcPr>
            <w:tcW w:w="1011" w:type="dxa"/>
            <w:noWrap w:val="0"/>
            <w:vAlign w:val="center"/>
          </w:tcPr>
          <w:p w14:paraId="73B12841">
            <w:pPr>
              <w:pStyle w:val="29"/>
              <w:bidi w:val="0"/>
              <w:rPr>
                <w:color w:val="auto"/>
              </w:rPr>
            </w:pPr>
            <w:r>
              <w:rPr>
                <w:color w:val="auto"/>
              </w:rPr>
              <w:t>组长</w:t>
            </w:r>
          </w:p>
        </w:tc>
        <w:tc>
          <w:tcPr>
            <w:tcW w:w="1970" w:type="dxa"/>
            <w:noWrap w:val="0"/>
            <w:vAlign w:val="center"/>
          </w:tcPr>
          <w:p w14:paraId="47E7E6A6">
            <w:pPr>
              <w:pStyle w:val="29"/>
              <w:bidi w:val="0"/>
              <w:rPr>
                <w:color w:val="auto"/>
              </w:rPr>
            </w:pPr>
            <w:r>
              <w:rPr>
                <w:color w:val="auto"/>
              </w:rPr>
              <w:t>卫生健康委员会</w:t>
            </w:r>
          </w:p>
        </w:tc>
        <w:tc>
          <w:tcPr>
            <w:tcW w:w="1515" w:type="dxa"/>
            <w:noWrap w:val="0"/>
            <w:vAlign w:val="center"/>
          </w:tcPr>
          <w:p w14:paraId="7900053A">
            <w:pPr>
              <w:pStyle w:val="29"/>
              <w:bidi w:val="0"/>
              <w:rPr>
                <w:color w:val="auto"/>
              </w:rPr>
            </w:pPr>
            <w:r>
              <w:rPr>
                <w:rFonts w:hint="eastAsia"/>
                <w:color w:val="auto"/>
                <w:lang w:val="en-US" w:eastAsia="zh-CN"/>
              </w:rPr>
              <w:t>主任</w:t>
            </w:r>
          </w:p>
        </w:tc>
        <w:tc>
          <w:tcPr>
            <w:tcW w:w="1076" w:type="dxa"/>
            <w:noWrap w:val="0"/>
            <w:vAlign w:val="top"/>
          </w:tcPr>
          <w:p w14:paraId="3CD765ED">
            <w:pPr>
              <w:pStyle w:val="29"/>
              <w:bidi w:val="0"/>
              <w:rPr>
                <w:color w:val="auto"/>
              </w:rPr>
            </w:pPr>
            <w:r>
              <w:rPr>
                <w:rFonts w:hint="eastAsia"/>
                <w:color w:val="auto"/>
                <w:lang w:val="en-US" w:eastAsia="zh-CN"/>
              </w:rPr>
              <w:t>赵鸿海</w:t>
            </w:r>
          </w:p>
        </w:tc>
        <w:tc>
          <w:tcPr>
            <w:tcW w:w="1691" w:type="dxa"/>
            <w:noWrap w:val="0"/>
            <w:vAlign w:val="top"/>
          </w:tcPr>
          <w:p w14:paraId="3D901ACC">
            <w:pPr>
              <w:pStyle w:val="29"/>
              <w:bidi w:val="0"/>
              <w:rPr>
                <w:color w:val="auto"/>
              </w:rPr>
            </w:pPr>
            <w:r>
              <w:rPr>
                <w:rFonts w:hint="eastAsia"/>
                <w:color w:val="auto"/>
                <w:lang w:val="en-US" w:eastAsia="zh-CN"/>
              </w:rPr>
              <w:t>13947052868</w:t>
            </w:r>
          </w:p>
        </w:tc>
      </w:tr>
      <w:tr w14:paraId="7E4362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4C8CDBB">
            <w:pPr>
              <w:pStyle w:val="29"/>
              <w:bidi w:val="0"/>
              <w:rPr>
                <w:color w:val="auto"/>
              </w:rPr>
            </w:pPr>
          </w:p>
        </w:tc>
        <w:tc>
          <w:tcPr>
            <w:tcW w:w="1011" w:type="dxa"/>
            <w:noWrap w:val="0"/>
            <w:vAlign w:val="center"/>
          </w:tcPr>
          <w:p w14:paraId="7152E895">
            <w:pPr>
              <w:pStyle w:val="29"/>
              <w:bidi w:val="0"/>
              <w:rPr>
                <w:color w:val="auto"/>
              </w:rPr>
            </w:pPr>
            <w:r>
              <w:rPr>
                <w:color w:val="auto"/>
              </w:rPr>
              <w:t>副组长</w:t>
            </w:r>
          </w:p>
        </w:tc>
        <w:tc>
          <w:tcPr>
            <w:tcW w:w="1970" w:type="dxa"/>
            <w:noWrap w:val="0"/>
            <w:vAlign w:val="center"/>
          </w:tcPr>
          <w:p w14:paraId="3AD04DA7">
            <w:pPr>
              <w:pStyle w:val="29"/>
              <w:bidi w:val="0"/>
              <w:rPr>
                <w:color w:val="auto"/>
              </w:rPr>
            </w:pPr>
            <w:r>
              <w:rPr>
                <w:color w:val="auto"/>
              </w:rPr>
              <w:t>卫生健康委员会</w:t>
            </w:r>
          </w:p>
        </w:tc>
        <w:tc>
          <w:tcPr>
            <w:tcW w:w="1515" w:type="dxa"/>
            <w:noWrap w:val="0"/>
            <w:vAlign w:val="center"/>
          </w:tcPr>
          <w:p w14:paraId="7E19CDE4">
            <w:pPr>
              <w:pStyle w:val="29"/>
              <w:bidi w:val="0"/>
              <w:rPr>
                <w:color w:val="auto"/>
              </w:rPr>
            </w:pPr>
            <w:r>
              <w:rPr>
                <w:rFonts w:hint="eastAsia"/>
                <w:color w:val="auto"/>
                <w:lang w:val="en-US" w:eastAsia="zh-CN"/>
              </w:rPr>
              <w:t>办公室主任</w:t>
            </w:r>
          </w:p>
        </w:tc>
        <w:tc>
          <w:tcPr>
            <w:tcW w:w="1076" w:type="dxa"/>
            <w:noWrap w:val="0"/>
            <w:vAlign w:val="top"/>
          </w:tcPr>
          <w:p w14:paraId="3C59C9E3">
            <w:pPr>
              <w:pStyle w:val="29"/>
              <w:bidi w:val="0"/>
              <w:rPr>
                <w:rFonts w:hint="eastAsia"/>
                <w:color w:val="auto"/>
                <w:lang w:val="en-US" w:eastAsia="zh-CN"/>
              </w:rPr>
            </w:pPr>
            <w:r>
              <w:rPr>
                <w:rFonts w:hint="eastAsia"/>
                <w:color w:val="auto"/>
                <w:lang w:val="en-US" w:eastAsia="zh-CN"/>
              </w:rPr>
              <w:t>杜国斌</w:t>
            </w:r>
          </w:p>
        </w:tc>
        <w:tc>
          <w:tcPr>
            <w:tcW w:w="1691" w:type="dxa"/>
            <w:noWrap w:val="0"/>
            <w:vAlign w:val="top"/>
          </w:tcPr>
          <w:p w14:paraId="51F7D754">
            <w:pPr>
              <w:pStyle w:val="29"/>
              <w:bidi w:val="0"/>
              <w:rPr>
                <w:color w:val="auto"/>
              </w:rPr>
            </w:pPr>
            <w:r>
              <w:rPr>
                <w:rFonts w:hint="eastAsia"/>
                <w:color w:val="auto"/>
                <w:lang w:val="en-US" w:eastAsia="zh-CN"/>
              </w:rPr>
              <w:t>15047017773</w:t>
            </w:r>
          </w:p>
        </w:tc>
      </w:tr>
      <w:tr w14:paraId="6C2BE5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7F41CE6B">
            <w:pPr>
              <w:pStyle w:val="29"/>
              <w:bidi w:val="0"/>
              <w:rPr>
                <w:color w:val="auto"/>
              </w:rPr>
            </w:pPr>
            <w:r>
              <w:rPr>
                <w:color w:val="auto"/>
              </w:rPr>
              <w:t>舆情组</w:t>
            </w:r>
          </w:p>
        </w:tc>
        <w:tc>
          <w:tcPr>
            <w:tcW w:w="1011" w:type="dxa"/>
            <w:noWrap w:val="0"/>
            <w:vAlign w:val="center"/>
          </w:tcPr>
          <w:p w14:paraId="564AB049">
            <w:pPr>
              <w:pStyle w:val="29"/>
              <w:bidi w:val="0"/>
              <w:rPr>
                <w:color w:val="auto"/>
              </w:rPr>
            </w:pPr>
            <w:r>
              <w:rPr>
                <w:color w:val="auto"/>
              </w:rPr>
              <w:t>成员</w:t>
            </w:r>
          </w:p>
        </w:tc>
        <w:tc>
          <w:tcPr>
            <w:tcW w:w="1970" w:type="dxa"/>
            <w:noWrap w:val="0"/>
            <w:vAlign w:val="center"/>
          </w:tcPr>
          <w:p w14:paraId="35118627">
            <w:pPr>
              <w:pStyle w:val="29"/>
              <w:bidi w:val="0"/>
              <w:rPr>
                <w:color w:val="auto"/>
              </w:rPr>
            </w:pPr>
            <w:r>
              <w:rPr>
                <w:rFonts w:hint="eastAsia"/>
                <w:color w:val="auto"/>
              </w:rPr>
              <w:t>委宣传部</w:t>
            </w:r>
          </w:p>
        </w:tc>
        <w:tc>
          <w:tcPr>
            <w:tcW w:w="1515" w:type="dxa"/>
            <w:noWrap w:val="0"/>
            <w:vAlign w:val="center"/>
          </w:tcPr>
          <w:p w14:paraId="4E79A000">
            <w:pPr>
              <w:pStyle w:val="29"/>
              <w:bidi w:val="0"/>
              <w:rPr>
                <w:color w:val="auto"/>
              </w:rPr>
            </w:pPr>
            <w:r>
              <w:rPr>
                <w:rFonts w:hint="eastAsia"/>
                <w:color w:val="auto"/>
              </w:rPr>
              <w:t>常务副职</w:t>
            </w:r>
          </w:p>
        </w:tc>
        <w:tc>
          <w:tcPr>
            <w:tcW w:w="1076" w:type="dxa"/>
            <w:noWrap w:val="0"/>
            <w:vAlign w:val="center"/>
          </w:tcPr>
          <w:p w14:paraId="01198E54">
            <w:pPr>
              <w:pStyle w:val="29"/>
              <w:bidi w:val="0"/>
              <w:rPr>
                <w:color w:val="auto"/>
              </w:rPr>
            </w:pPr>
            <w:r>
              <w:rPr>
                <w:rFonts w:hint="eastAsia"/>
                <w:color w:val="auto"/>
              </w:rPr>
              <w:t>吴薇薇</w:t>
            </w:r>
          </w:p>
        </w:tc>
        <w:tc>
          <w:tcPr>
            <w:tcW w:w="1691" w:type="dxa"/>
            <w:noWrap w:val="0"/>
            <w:vAlign w:val="center"/>
          </w:tcPr>
          <w:p w14:paraId="7589BACE">
            <w:pPr>
              <w:pStyle w:val="29"/>
              <w:bidi w:val="0"/>
              <w:rPr>
                <w:rFonts w:hint="default"/>
                <w:color w:val="auto"/>
                <w:lang w:val="en-US"/>
              </w:rPr>
            </w:pPr>
            <w:r>
              <w:rPr>
                <w:rFonts w:hint="eastAsia"/>
                <w:color w:val="auto"/>
                <w:lang w:val="en-US" w:eastAsia="zh-CN"/>
              </w:rPr>
              <w:t>--</w:t>
            </w:r>
          </w:p>
        </w:tc>
      </w:tr>
      <w:tr w14:paraId="48F12C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366A99B">
            <w:pPr>
              <w:pStyle w:val="29"/>
              <w:bidi w:val="0"/>
              <w:rPr>
                <w:color w:val="auto"/>
              </w:rPr>
            </w:pPr>
          </w:p>
        </w:tc>
        <w:tc>
          <w:tcPr>
            <w:tcW w:w="1011" w:type="dxa"/>
            <w:noWrap w:val="0"/>
            <w:vAlign w:val="center"/>
          </w:tcPr>
          <w:p w14:paraId="375D8C4B">
            <w:pPr>
              <w:pStyle w:val="29"/>
              <w:bidi w:val="0"/>
              <w:rPr>
                <w:color w:val="auto"/>
              </w:rPr>
            </w:pPr>
            <w:r>
              <w:rPr>
                <w:color w:val="auto"/>
              </w:rPr>
              <w:t>成员</w:t>
            </w:r>
          </w:p>
        </w:tc>
        <w:tc>
          <w:tcPr>
            <w:tcW w:w="1970" w:type="dxa"/>
            <w:noWrap w:val="0"/>
            <w:vAlign w:val="center"/>
          </w:tcPr>
          <w:p w14:paraId="5EAE3044">
            <w:pPr>
              <w:pStyle w:val="29"/>
              <w:bidi w:val="0"/>
              <w:rPr>
                <w:color w:val="auto"/>
              </w:rPr>
            </w:pPr>
            <w:r>
              <w:rPr>
                <w:rFonts w:hint="eastAsia"/>
                <w:color w:val="auto"/>
              </w:rPr>
              <w:t>融媒体中心</w:t>
            </w:r>
          </w:p>
        </w:tc>
        <w:tc>
          <w:tcPr>
            <w:tcW w:w="1515" w:type="dxa"/>
            <w:noWrap w:val="0"/>
            <w:vAlign w:val="center"/>
          </w:tcPr>
          <w:p w14:paraId="1B5DD8C2">
            <w:pPr>
              <w:pStyle w:val="29"/>
              <w:bidi w:val="0"/>
              <w:rPr>
                <w:color w:val="auto"/>
              </w:rPr>
            </w:pPr>
            <w:r>
              <w:rPr>
                <w:rFonts w:hint="eastAsia"/>
                <w:color w:val="auto"/>
              </w:rPr>
              <w:t>主任</w:t>
            </w:r>
          </w:p>
        </w:tc>
        <w:tc>
          <w:tcPr>
            <w:tcW w:w="1076" w:type="dxa"/>
            <w:noWrap w:val="0"/>
            <w:vAlign w:val="center"/>
          </w:tcPr>
          <w:p w14:paraId="38F61361">
            <w:pPr>
              <w:pStyle w:val="29"/>
              <w:bidi w:val="0"/>
              <w:rPr>
                <w:color w:val="auto"/>
              </w:rPr>
            </w:pPr>
            <w:r>
              <w:rPr>
                <w:rFonts w:hint="eastAsia"/>
                <w:color w:val="auto"/>
                <w:lang w:eastAsia="zh-CN"/>
              </w:rPr>
              <w:t>秦绪伟</w:t>
            </w:r>
          </w:p>
        </w:tc>
        <w:tc>
          <w:tcPr>
            <w:tcW w:w="1691" w:type="dxa"/>
            <w:noWrap w:val="0"/>
            <w:vAlign w:val="center"/>
          </w:tcPr>
          <w:p w14:paraId="38AE1833">
            <w:pPr>
              <w:pStyle w:val="29"/>
              <w:bidi w:val="0"/>
              <w:rPr>
                <w:color w:val="auto"/>
              </w:rPr>
            </w:pPr>
            <w:r>
              <w:rPr>
                <w:rFonts w:hint="eastAsia"/>
                <w:color w:val="auto"/>
                <w:lang w:val="en-US" w:eastAsia="zh-CN"/>
              </w:rPr>
              <w:t>19214704923</w:t>
            </w:r>
          </w:p>
        </w:tc>
      </w:tr>
      <w:tr w14:paraId="0F82FC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270" w:type="dxa"/>
            <w:gridSpan w:val="2"/>
            <w:noWrap w:val="0"/>
            <w:vAlign w:val="center"/>
          </w:tcPr>
          <w:p w14:paraId="4957A3FF">
            <w:pPr>
              <w:pStyle w:val="29"/>
              <w:bidi w:val="0"/>
              <w:rPr>
                <w:color w:val="auto"/>
              </w:rPr>
            </w:pPr>
            <w:r>
              <w:rPr>
                <w:color w:val="auto"/>
              </w:rPr>
              <w:t>应急办公室24小时值班电话</w:t>
            </w:r>
          </w:p>
        </w:tc>
        <w:tc>
          <w:tcPr>
            <w:tcW w:w="6252" w:type="dxa"/>
            <w:gridSpan w:val="4"/>
            <w:noWrap w:val="0"/>
            <w:vAlign w:val="center"/>
          </w:tcPr>
          <w:p w14:paraId="60292870">
            <w:pPr>
              <w:pStyle w:val="29"/>
              <w:bidi w:val="0"/>
              <w:rPr>
                <w:color w:val="auto"/>
              </w:rPr>
            </w:pPr>
          </w:p>
        </w:tc>
      </w:tr>
    </w:tbl>
    <w:p w14:paraId="7CBBD193">
      <w:pPr>
        <w:adjustRightInd w:val="0"/>
        <w:snapToGrid w:val="0"/>
        <w:spacing w:line="360" w:lineRule="auto"/>
        <w:ind w:left="0"/>
        <w:jc w:val="center"/>
        <w:rPr>
          <w:rFonts w:hint="eastAsia" w:eastAsia="仿宋"/>
          <w:b/>
          <w:color w:val="auto"/>
          <w:sz w:val="24"/>
          <w:szCs w:val="24"/>
        </w:rPr>
      </w:pPr>
    </w:p>
    <w:p w14:paraId="49A447EB">
      <w:pPr>
        <w:pStyle w:val="5"/>
        <w:bidi w:val="0"/>
        <w:rPr>
          <w:color w:val="auto"/>
        </w:rPr>
      </w:pPr>
      <w:bookmarkStart w:id="101" w:name="_Toc637"/>
      <w:bookmarkStart w:id="102" w:name="_Toc89548181"/>
      <w:bookmarkStart w:id="103" w:name="_Toc89469680"/>
      <w:bookmarkStart w:id="104" w:name="_Toc1368281105"/>
      <w:r>
        <w:rPr>
          <w:color w:val="auto"/>
        </w:rPr>
        <w:t>应急救援组织机构职责</w:t>
      </w:r>
      <w:bookmarkEnd w:id="101"/>
      <w:bookmarkEnd w:id="102"/>
      <w:bookmarkEnd w:id="103"/>
      <w:bookmarkEnd w:id="104"/>
    </w:p>
    <w:p w14:paraId="5415DFEB">
      <w:pPr>
        <w:pStyle w:val="6"/>
        <w:bidi w:val="0"/>
        <w:rPr>
          <w:color w:val="auto"/>
        </w:rPr>
      </w:pPr>
      <w:bookmarkStart w:id="105" w:name="_Toc89469681"/>
      <w:bookmarkStart w:id="106" w:name="_Toc1445639659"/>
      <w:bookmarkStart w:id="107" w:name="_Toc89548182"/>
      <w:bookmarkStart w:id="108" w:name="_Toc16208"/>
      <w:r>
        <w:rPr>
          <w:color w:val="auto"/>
        </w:rPr>
        <w:t>应急指挥部主要职责</w:t>
      </w:r>
      <w:bookmarkEnd w:id="105"/>
      <w:bookmarkEnd w:id="106"/>
      <w:bookmarkEnd w:id="107"/>
      <w:bookmarkEnd w:id="108"/>
    </w:p>
    <w:p w14:paraId="77C0AB11">
      <w:pPr>
        <w:numPr>
          <w:ilvl w:val="0"/>
          <w:numId w:val="2"/>
        </w:numPr>
        <w:adjustRightInd w:val="0"/>
        <w:snapToGrid w:val="0"/>
        <w:spacing w:line="360" w:lineRule="auto"/>
        <w:ind w:left="0" w:firstLine="560" w:firstLineChars="200"/>
        <w:rPr>
          <w:rFonts w:eastAsia="仿宋"/>
          <w:b/>
          <w:color w:val="auto"/>
          <w:sz w:val="28"/>
          <w:szCs w:val="28"/>
        </w:rPr>
      </w:pPr>
      <w:r>
        <w:rPr>
          <w:rFonts w:eastAsia="仿宋"/>
          <w:color w:val="auto"/>
          <w:sz w:val="28"/>
          <w:szCs w:val="28"/>
        </w:rPr>
        <w:t>应急指挥部的主要职责：</w:t>
      </w:r>
    </w:p>
    <w:p w14:paraId="7F78154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（1）贯彻执行市委、市政府有关应急管理工作的方针、政策；</w:t>
      </w:r>
    </w:p>
    <w:p w14:paraId="2896BD0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（2）统一领导、协调突发环境事件的应急救援工作；</w:t>
      </w:r>
    </w:p>
    <w:p w14:paraId="2E0EF50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（3）负责突发环境事件应急处置工作的决策并进行监督指导；</w:t>
      </w:r>
    </w:p>
    <w:p w14:paraId="16659A7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（4）研究决定突发环境事件应急工作的有关重大问题；</w:t>
      </w:r>
    </w:p>
    <w:p w14:paraId="70D5B56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lang w:val="en-US" w:eastAsia="zh-CN"/>
        </w:rPr>
        <w:t>5</w:t>
      </w:r>
      <w:r>
        <w:rPr>
          <w:rFonts w:eastAsia="仿宋"/>
          <w:color w:val="auto"/>
          <w:sz w:val="28"/>
          <w:szCs w:val="28"/>
        </w:rPr>
        <w:t>）审议、决定突发环境事件应对工作中的重大事项；</w:t>
      </w:r>
    </w:p>
    <w:p w14:paraId="3387252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lang w:val="en-US" w:eastAsia="zh-CN"/>
        </w:rPr>
        <w:t>6</w:t>
      </w:r>
      <w:r>
        <w:rPr>
          <w:rFonts w:eastAsia="仿宋"/>
          <w:color w:val="auto"/>
          <w:sz w:val="28"/>
          <w:szCs w:val="28"/>
        </w:rPr>
        <w:t>）指导监督突发环境事件相关应急部门的工作；</w:t>
      </w:r>
    </w:p>
    <w:p w14:paraId="28779D2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lang w:val="en-US" w:eastAsia="zh-CN"/>
        </w:rPr>
        <w:t>7</w:t>
      </w:r>
      <w:r>
        <w:rPr>
          <w:rFonts w:eastAsia="仿宋"/>
          <w:color w:val="auto"/>
          <w:sz w:val="28"/>
          <w:szCs w:val="28"/>
        </w:rPr>
        <w:t>）完成上级应急指挥部交办的其他事项。</w:t>
      </w:r>
    </w:p>
    <w:p w14:paraId="53BA46D6">
      <w:pPr>
        <w:pStyle w:val="6"/>
        <w:bidi w:val="0"/>
        <w:rPr>
          <w:color w:val="auto"/>
        </w:rPr>
      </w:pPr>
      <w:bookmarkStart w:id="109" w:name="_Toc89548183"/>
      <w:bookmarkStart w:id="110" w:name="_Toc89469682"/>
      <w:bookmarkStart w:id="111" w:name="_Toc235766655"/>
      <w:bookmarkStart w:id="112" w:name="_Toc26709"/>
      <w:r>
        <w:rPr>
          <w:color w:val="auto"/>
        </w:rPr>
        <w:t>应急指挥部成员及职责分工</w:t>
      </w:r>
      <w:bookmarkEnd w:id="109"/>
      <w:bookmarkEnd w:id="110"/>
      <w:bookmarkEnd w:id="111"/>
      <w:bookmarkEnd w:id="112"/>
    </w:p>
    <w:p w14:paraId="08B7FDD2">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突发环境事件应急指挥部总指挥由市长担任，</w:t>
      </w:r>
      <w:r>
        <w:rPr>
          <w:rFonts w:hint="eastAsia" w:eastAsia="仿宋"/>
          <w:color w:val="auto"/>
          <w:sz w:val="28"/>
          <w:szCs w:val="28"/>
        </w:rPr>
        <w:t>额尔古纳市</w:t>
      </w:r>
      <w:r>
        <w:rPr>
          <w:rFonts w:eastAsia="仿宋"/>
          <w:color w:val="auto"/>
          <w:sz w:val="28"/>
          <w:szCs w:val="28"/>
        </w:rPr>
        <w:t>市政府分管副市长任副总指挥。</w:t>
      </w:r>
    </w:p>
    <w:p w14:paraId="0CA374DF">
      <w:pPr>
        <w:numPr>
          <w:ilvl w:val="0"/>
          <w:numId w:val="3"/>
        </w:numPr>
        <w:adjustRightInd w:val="0"/>
        <w:snapToGrid w:val="0"/>
        <w:spacing w:line="360" w:lineRule="auto"/>
        <w:ind w:left="0" w:firstLine="560" w:firstLineChars="200"/>
        <w:rPr>
          <w:rFonts w:eastAsia="仿宋"/>
          <w:color w:val="auto"/>
          <w:sz w:val="28"/>
          <w:szCs w:val="28"/>
        </w:rPr>
      </w:pPr>
      <w:r>
        <w:rPr>
          <w:rFonts w:eastAsia="仿宋"/>
          <w:color w:val="auto"/>
          <w:sz w:val="28"/>
          <w:szCs w:val="28"/>
        </w:rPr>
        <w:t>总指挥的日常工作职责：</w:t>
      </w:r>
    </w:p>
    <w:p w14:paraId="48697E5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（1）贯彻执行国家、上级主管部门和市委、市政府应急管理工作的方针、政策；</w:t>
      </w:r>
    </w:p>
    <w:p w14:paraId="1C718B3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（2）研究决定突发环境事件应急工作的有关重大问题；</w:t>
      </w:r>
    </w:p>
    <w:p w14:paraId="357234B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（3）部署和总结年度环境事件应急工作；</w:t>
      </w:r>
    </w:p>
    <w:p w14:paraId="1AF2D3D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（4）编制、修订突发环境事件应急预案；</w:t>
      </w:r>
    </w:p>
    <w:p w14:paraId="53FBD15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（5）保障突发环境事件应急保障经费的投入。</w:t>
      </w:r>
    </w:p>
    <w:p w14:paraId="4AD930EC">
      <w:pPr>
        <w:numPr>
          <w:ilvl w:val="0"/>
          <w:numId w:val="4"/>
        </w:numPr>
        <w:adjustRightInd w:val="0"/>
        <w:snapToGrid w:val="0"/>
        <w:spacing w:line="360" w:lineRule="auto"/>
        <w:ind w:left="0" w:firstLine="560" w:firstLineChars="200"/>
        <w:rPr>
          <w:rFonts w:eastAsia="仿宋"/>
          <w:color w:val="auto"/>
          <w:sz w:val="28"/>
          <w:szCs w:val="28"/>
        </w:rPr>
      </w:pPr>
      <w:r>
        <w:rPr>
          <w:rFonts w:eastAsia="仿宋"/>
          <w:color w:val="auto"/>
          <w:sz w:val="28"/>
          <w:szCs w:val="28"/>
        </w:rPr>
        <w:t>总指挥的应急工作职责：</w:t>
      </w:r>
    </w:p>
    <w:p w14:paraId="5E015F0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（1）统一领导、组织和指挥应急处置工作，接受上级政府部门的指令和调动；</w:t>
      </w:r>
    </w:p>
    <w:p w14:paraId="1FFB921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（2）决定应急预案的启动与终止；</w:t>
      </w:r>
    </w:p>
    <w:p w14:paraId="615C959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（3）审核突发环境事件的险情及应急处理进展情况，确定预警和应急响应级别；</w:t>
      </w:r>
    </w:p>
    <w:p w14:paraId="6AF326B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（4）发生环境应急事故时，亲自或委托副总指挥赶赴现场指挥及组织现场应急处理；</w:t>
      </w:r>
    </w:p>
    <w:p w14:paraId="62EE274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（5）发布应急处置命令；</w:t>
      </w:r>
    </w:p>
    <w:p w14:paraId="01C66BB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（6）如果事故级别升级，本应急预案无法应对时，负责及时向上级政府部门报告并提出协助请求。</w:t>
      </w:r>
    </w:p>
    <w:p w14:paraId="1F9025A6">
      <w:pPr>
        <w:numPr>
          <w:ilvl w:val="0"/>
          <w:numId w:val="5"/>
        </w:numPr>
        <w:adjustRightInd w:val="0"/>
        <w:snapToGrid w:val="0"/>
        <w:spacing w:line="360" w:lineRule="auto"/>
        <w:ind w:left="0" w:firstLine="560" w:firstLineChars="200"/>
        <w:rPr>
          <w:rFonts w:eastAsia="仿宋"/>
          <w:color w:val="auto"/>
          <w:sz w:val="28"/>
          <w:szCs w:val="28"/>
        </w:rPr>
      </w:pPr>
      <w:r>
        <w:rPr>
          <w:rFonts w:eastAsia="仿宋"/>
          <w:color w:val="auto"/>
          <w:sz w:val="28"/>
          <w:szCs w:val="28"/>
        </w:rPr>
        <w:t>副总指挥的日常工作职责：</w:t>
      </w:r>
    </w:p>
    <w:p w14:paraId="463EAE1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（1）组织、指导突发环境事件的应急培训工作，协调指导应急救援队伍的管理和救援能力的评估工作；</w:t>
      </w:r>
    </w:p>
    <w:p w14:paraId="60316F6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（2）监察、督促做好</w:t>
      </w:r>
      <w:r>
        <w:rPr>
          <w:rFonts w:hint="eastAsia" w:eastAsia="仿宋"/>
          <w:color w:val="auto"/>
          <w:sz w:val="28"/>
          <w:szCs w:val="28"/>
        </w:rPr>
        <w:t>突发</w:t>
      </w:r>
      <w:r>
        <w:rPr>
          <w:rFonts w:eastAsia="仿宋"/>
          <w:color w:val="auto"/>
          <w:sz w:val="28"/>
          <w:szCs w:val="28"/>
        </w:rPr>
        <w:t>环境事件的预防措施和应急救援的各项准备工作；</w:t>
      </w:r>
    </w:p>
    <w:p w14:paraId="056203A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（3）监督应急救援体系的建设和运转，审查应急救援工作报告。</w:t>
      </w:r>
    </w:p>
    <w:p w14:paraId="5CEE49BC">
      <w:pPr>
        <w:numPr>
          <w:ilvl w:val="0"/>
          <w:numId w:val="6"/>
        </w:numPr>
        <w:adjustRightInd w:val="0"/>
        <w:snapToGrid w:val="0"/>
        <w:spacing w:line="360" w:lineRule="auto"/>
        <w:ind w:left="0" w:firstLine="560" w:firstLineChars="200"/>
        <w:rPr>
          <w:rFonts w:eastAsia="仿宋"/>
          <w:color w:val="auto"/>
          <w:sz w:val="28"/>
          <w:szCs w:val="28"/>
        </w:rPr>
      </w:pPr>
      <w:r>
        <w:rPr>
          <w:rFonts w:eastAsia="仿宋"/>
          <w:color w:val="auto"/>
          <w:sz w:val="28"/>
          <w:szCs w:val="28"/>
        </w:rPr>
        <w:t>副总指挥的应急工作职责：</w:t>
      </w:r>
    </w:p>
    <w:p w14:paraId="1A83F539">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（1）负责协助总指挥领导、组织和指挥应急处置工作；</w:t>
      </w:r>
    </w:p>
    <w:p w14:paraId="0A07223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2</w:t>
      </w:r>
      <w:r>
        <w:rPr>
          <w:rFonts w:eastAsia="仿宋"/>
          <w:color w:val="auto"/>
          <w:sz w:val="28"/>
          <w:szCs w:val="28"/>
        </w:rPr>
        <w:t>）对应急行动提出建议；</w:t>
      </w:r>
    </w:p>
    <w:p w14:paraId="3AE8B0E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3</w:t>
      </w:r>
      <w:r>
        <w:rPr>
          <w:rFonts w:eastAsia="仿宋"/>
          <w:color w:val="auto"/>
          <w:sz w:val="28"/>
          <w:szCs w:val="28"/>
        </w:rPr>
        <w:t>）负责应急救援组织机构成员应急行动的顺利执行；</w:t>
      </w:r>
    </w:p>
    <w:p w14:paraId="2B43F4B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4</w:t>
      </w:r>
      <w:r>
        <w:rPr>
          <w:rFonts w:eastAsia="仿宋"/>
          <w:color w:val="auto"/>
          <w:sz w:val="28"/>
          <w:szCs w:val="28"/>
        </w:rPr>
        <w:t>）控制现场出现的紧急情况；</w:t>
      </w:r>
    </w:p>
    <w:p w14:paraId="5C76A9B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5</w:t>
      </w:r>
      <w:r>
        <w:rPr>
          <w:rFonts w:eastAsia="仿宋"/>
          <w:color w:val="auto"/>
          <w:sz w:val="28"/>
          <w:szCs w:val="28"/>
        </w:rPr>
        <w:t>）控制应急行动与场外人员操作指挥的协调</w:t>
      </w:r>
      <w:r>
        <w:rPr>
          <w:rFonts w:hint="eastAsia" w:eastAsia="仿宋"/>
          <w:color w:val="auto"/>
          <w:sz w:val="28"/>
          <w:szCs w:val="28"/>
        </w:rPr>
        <w:t>；</w:t>
      </w:r>
    </w:p>
    <w:p w14:paraId="2D3435AE">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w:t>
      </w:r>
      <w:r>
        <w:rPr>
          <w:rFonts w:hint="eastAsia" w:eastAsia="仿宋"/>
          <w:color w:val="auto"/>
          <w:sz w:val="28"/>
          <w:szCs w:val="28"/>
        </w:rPr>
        <w:t>6</w:t>
      </w:r>
      <w:r>
        <w:rPr>
          <w:rFonts w:eastAsia="仿宋"/>
          <w:color w:val="auto"/>
          <w:sz w:val="28"/>
          <w:szCs w:val="28"/>
        </w:rPr>
        <w:t>）</w:t>
      </w:r>
      <w:r>
        <w:rPr>
          <w:rFonts w:hint="eastAsia" w:eastAsia="仿宋"/>
          <w:color w:val="auto"/>
          <w:sz w:val="28"/>
          <w:szCs w:val="28"/>
        </w:rPr>
        <w:t>受总指挥授权委托后履行总指挥应急工作职责。</w:t>
      </w:r>
    </w:p>
    <w:p w14:paraId="1312A3A4">
      <w:pPr>
        <w:pStyle w:val="6"/>
        <w:bidi w:val="0"/>
        <w:rPr>
          <w:color w:val="auto"/>
        </w:rPr>
      </w:pPr>
      <w:bookmarkStart w:id="113" w:name="_Toc89548184"/>
      <w:bookmarkStart w:id="114" w:name="_Toc422841870"/>
      <w:bookmarkStart w:id="115" w:name="_Toc2746"/>
      <w:bookmarkStart w:id="116" w:name="_Toc89469683"/>
      <w:r>
        <w:rPr>
          <w:color w:val="auto"/>
        </w:rPr>
        <w:t>应急办公室成员及职责分工</w:t>
      </w:r>
      <w:bookmarkEnd w:id="113"/>
      <w:bookmarkEnd w:id="114"/>
      <w:bookmarkEnd w:id="115"/>
      <w:bookmarkEnd w:id="116"/>
    </w:p>
    <w:p w14:paraId="44EE087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应急指挥部下设应急办公室，位于</w:t>
      </w:r>
      <w:r>
        <w:rPr>
          <w:rFonts w:hint="eastAsia" w:eastAsia="仿宋"/>
          <w:color w:val="auto"/>
          <w:sz w:val="28"/>
          <w:szCs w:val="28"/>
        </w:rPr>
        <w:t>额尔古纳市</w:t>
      </w:r>
      <w:r>
        <w:rPr>
          <w:rFonts w:eastAsia="仿宋"/>
          <w:color w:val="auto"/>
          <w:sz w:val="28"/>
          <w:szCs w:val="28"/>
        </w:rPr>
        <w:t>人民政府。设应急办公室主任1名，由</w:t>
      </w:r>
      <w:r>
        <w:rPr>
          <w:rFonts w:hint="eastAsia" w:eastAsia="仿宋"/>
          <w:color w:val="auto"/>
          <w:sz w:val="28"/>
          <w:szCs w:val="28"/>
        </w:rPr>
        <w:t>额尔古纳市</w:t>
      </w:r>
      <w:r>
        <w:rPr>
          <w:rFonts w:eastAsia="仿宋"/>
          <w:color w:val="auto"/>
          <w:sz w:val="28"/>
          <w:szCs w:val="28"/>
        </w:rPr>
        <w:t>人民政府办公室主任担任；</w:t>
      </w:r>
      <w:r>
        <w:rPr>
          <w:rFonts w:hint="eastAsia" w:eastAsia="仿宋"/>
          <w:color w:val="auto"/>
          <w:sz w:val="28"/>
          <w:szCs w:val="28"/>
        </w:rPr>
        <w:t>成员</w:t>
      </w:r>
      <w:r>
        <w:rPr>
          <w:rFonts w:hint="eastAsia" w:eastAsia="仿宋"/>
          <w:color w:val="auto"/>
          <w:sz w:val="28"/>
          <w:szCs w:val="28"/>
          <w:lang w:val="en-US" w:eastAsia="zh-CN"/>
        </w:rPr>
        <w:t>由</w:t>
      </w:r>
      <w:r>
        <w:rPr>
          <w:rFonts w:hint="eastAsia" w:eastAsia="仿宋"/>
          <w:color w:val="auto"/>
          <w:sz w:val="28"/>
          <w:szCs w:val="28"/>
        </w:rPr>
        <w:t>额尔古纳市生态环境综合行政执法大队大队长</w:t>
      </w:r>
      <w:r>
        <w:rPr>
          <w:rFonts w:eastAsia="仿宋"/>
          <w:color w:val="auto"/>
          <w:sz w:val="28"/>
          <w:szCs w:val="28"/>
        </w:rPr>
        <w:t>担任。</w:t>
      </w:r>
    </w:p>
    <w:p w14:paraId="471CE0D4">
      <w:pPr>
        <w:numPr>
          <w:ilvl w:val="0"/>
          <w:numId w:val="7"/>
        </w:num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应急办公室日常工作职责：</w:t>
      </w:r>
    </w:p>
    <w:p w14:paraId="6C838F2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（1）负责组织</w:t>
      </w:r>
      <w:r>
        <w:rPr>
          <w:rFonts w:hint="eastAsia" w:eastAsia="仿宋"/>
          <w:color w:val="auto"/>
          <w:sz w:val="28"/>
          <w:szCs w:val="28"/>
        </w:rPr>
        <w:t>额尔古纳市</w:t>
      </w:r>
      <w:r>
        <w:rPr>
          <w:rFonts w:eastAsia="仿宋"/>
          <w:color w:val="auto"/>
          <w:sz w:val="28"/>
          <w:szCs w:val="28"/>
        </w:rPr>
        <w:t>突发环境事件应急预案和部门应急预案的制订和修订；</w:t>
      </w:r>
    </w:p>
    <w:p w14:paraId="2BD058F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2</w:t>
      </w:r>
      <w:r>
        <w:rPr>
          <w:rFonts w:eastAsia="仿宋"/>
          <w:color w:val="auto"/>
          <w:sz w:val="28"/>
          <w:szCs w:val="28"/>
        </w:rPr>
        <w:t>）贯彻落实</w:t>
      </w:r>
      <w:r>
        <w:rPr>
          <w:rFonts w:hint="eastAsia" w:eastAsia="仿宋"/>
          <w:color w:val="auto"/>
          <w:sz w:val="28"/>
          <w:szCs w:val="28"/>
        </w:rPr>
        <w:t>额尔古纳市</w:t>
      </w:r>
      <w:r>
        <w:rPr>
          <w:rFonts w:eastAsia="仿宋"/>
          <w:color w:val="auto"/>
          <w:sz w:val="28"/>
          <w:szCs w:val="28"/>
        </w:rPr>
        <w:t>突发环境事件应急指挥部的决定事项；</w:t>
      </w:r>
    </w:p>
    <w:p w14:paraId="5ED07C5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3</w:t>
      </w:r>
      <w:r>
        <w:rPr>
          <w:rFonts w:eastAsia="仿宋"/>
          <w:color w:val="auto"/>
          <w:sz w:val="28"/>
          <w:szCs w:val="28"/>
        </w:rPr>
        <w:t>）建立专业应急队伍</w:t>
      </w:r>
      <w:r>
        <w:rPr>
          <w:rFonts w:hint="eastAsia" w:eastAsia="仿宋"/>
          <w:color w:val="auto"/>
          <w:sz w:val="28"/>
          <w:szCs w:val="28"/>
        </w:rPr>
        <w:t>管理机制</w:t>
      </w:r>
      <w:r>
        <w:rPr>
          <w:rFonts w:eastAsia="仿宋"/>
          <w:color w:val="auto"/>
          <w:sz w:val="28"/>
          <w:szCs w:val="28"/>
        </w:rPr>
        <w:t>，组织应急预案演练、人员培训和应急知识普及工作；</w:t>
      </w:r>
    </w:p>
    <w:p w14:paraId="2011274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4</w:t>
      </w:r>
      <w:r>
        <w:rPr>
          <w:rFonts w:eastAsia="仿宋"/>
          <w:color w:val="auto"/>
          <w:sz w:val="28"/>
          <w:szCs w:val="28"/>
        </w:rPr>
        <w:t>）指导乡/镇/街道人民政府做好环境应急工作；</w:t>
      </w:r>
    </w:p>
    <w:p w14:paraId="39C4CF0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5</w:t>
      </w:r>
      <w:r>
        <w:rPr>
          <w:rFonts w:eastAsia="仿宋"/>
          <w:color w:val="auto"/>
          <w:sz w:val="28"/>
          <w:szCs w:val="28"/>
        </w:rPr>
        <w:t>）负责日常的接警工作。</w:t>
      </w:r>
    </w:p>
    <w:p w14:paraId="5E44354F">
      <w:pPr>
        <w:numPr>
          <w:ilvl w:val="0"/>
          <w:numId w:val="7"/>
        </w:num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应急办公室应急工作职责：</w:t>
      </w:r>
    </w:p>
    <w:p w14:paraId="5DAF0BD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（1）上传下达指挥部安排的应急任务；</w:t>
      </w:r>
    </w:p>
    <w:p w14:paraId="0AF028A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（2）负责人员调配、资源分配和应急队伍的调动；</w:t>
      </w:r>
    </w:p>
    <w:p w14:paraId="4CA3AB1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（3）事故信息的上报，并与相关的外部应急部门、组织和机构进行联络，及时通报应急信息；</w:t>
      </w:r>
    </w:p>
    <w:p w14:paraId="4B93FEC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（4）负责应急指挥部与各应急救援小组以及各应急救援小组之间的协调工作；</w:t>
      </w:r>
    </w:p>
    <w:p w14:paraId="5AF553E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（5）组织调查一般（IV）突发环境事件，形成事故调查报告；</w:t>
      </w:r>
    </w:p>
    <w:p w14:paraId="2DD3ED7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（6）负责现场信息的汇总报告和应急指挥部指令的传达。</w:t>
      </w:r>
    </w:p>
    <w:p w14:paraId="2733939A">
      <w:pPr>
        <w:pStyle w:val="6"/>
        <w:bidi w:val="0"/>
        <w:rPr>
          <w:color w:val="auto"/>
        </w:rPr>
      </w:pPr>
      <w:bookmarkStart w:id="117" w:name="_Toc89469684"/>
      <w:bookmarkStart w:id="118" w:name="_Toc89548185"/>
      <w:bookmarkStart w:id="119" w:name="_Toc679921167"/>
      <w:bookmarkStart w:id="120" w:name="_Toc22363"/>
      <w:r>
        <w:rPr>
          <w:color w:val="auto"/>
        </w:rPr>
        <w:t>应急救援队伍成员及职责分工</w:t>
      </w:r>
      <w:bookmarkEnd w:id="117"/>
      <w:bookmarkEnd w:id="118"/>
      <w:bookmarkEnd w:id="119"/>
      <w:bookmarkEnd w:id="120"/>
    </w:p>
    <w:p w14:paraId="4D322C5A">
      <w:pPr>
        <w:pStyle w:val="7"/>
        <w:bidi w:val="0"/>
        <w:rPr>
          <w:color w:val="auto"/>
        </w:rPr>
      </w:pPr>
      <w:r>
        <w:rPr>
          <w:rFonts w:hint="eastAsia"/>
          <w:b/>
          <w:bCs/>
          <w:color w:val="auto"/>
          <w:lang w:val="en-US" w:eastAsia="zh-CN"/>
        </w:rPr>
        <w:t>1.</w:t>
      </w:r>
      <w:r>
        <w:rPr>
          <w:b/>
          <w:bCs/>
          <w:color w:val="auto"/>
        </w:rPr>
        <w:t>应急专家组成员及职责</w:t>
      </w:r>
    </w:p>
    <w:p w14:paraId="752EFB66">
      <w:pPr>
        <w:pStyle w:val="7"/>
        <w:bidi w:val="0"/>
        <w:rPr>
          <w:color w:val="auto"/>
        </w:rPr>
      </w:pPr>
      <w:r>
        <w:rPr>
          <w:color w:val="auto"/>
        </w:rPr>
        <w:t>应急专家组组长由</w:t>
      </w:r>
      <w:r>
        <w:rPr>
          <w:rFonts w:hint="eastAsia"/>
          <w:color w:val="auto"/>
        </w:rPr>
        <w:t>生态环境分局副</w:t>
      </w:r>
      <w:r>
        <w:rPr>
          <w:color w:val="auto"/>
        </w:rPr>
        <w:t>局长担任，副组长由</w:t>
      </w:r>
      <w:r>
        <w:rPr>
          <w:rFonts w:hint="eastAsia"/>
          <w:color w:val="auto"/>
        </w:rPr>
        <w:t>应急管理局局长</w:t>
      </w:r>
      <w:r>
        <w:rPr>
          <w:color w:val="auto"/>
        </w:rPr>
        <w:t>担任</w:t>
      </w:r>
      <w:r>
        <w:rPr>
          <w:rFonts w:hint="eastAsia"/>
          <w:color w:val="auto"/>
        </w:rPr>
        <w:t>，成员有农牧和科技局（水利局）</w:t>
      </w:r>
      <w:r>
        <w:rPr>
          <w:color w:val="auto"/>
        </w:rPr>
        <w:t>。</w:t>
      </w:r>
    </w:p>
    <w:p w14:paraId="0454E465">
      <w:pPr>
        <w:pStyle w:val="7"/>
        <w:bidi w:val="0"/>
        <w:rPr>
          <w:color w:val="auto"/>
        </w:rPr>
      </w:pPr>
      <w:r>
        <w:rPr>
          <w:color w:val="auto"/>
        </w:rPr>
        <w:t>应急专家组日常工作职责：</w:t>
      </w:r>
    </w:p>
    <w:p w14:paraId="366FF91E">
      <w:pPr>
        <w:pStyle w:val="7"/>
        <w:bidi w:val="0"/>
        <w:rPr>
          <w:color w:val="auto"/>
        </w:rPr>
      </w:pPr>
      <w:r>
        <w:rPr>
          <w:color w:val="auto"/>
        </w:rPr>
        <w:t>（1）指导政府进行日常的应急工作，包括培训、演练和隐患排查与整改等；</w:t>
      </w:r>
    </w:p>
    <w:p w14:paraId="2F45FCD5">
      <w:pPr>
        <w:pStyle w:val="7"/>
        <w:bidi w:val="0"/>
        <w:rPr>
          <w:color w:val="auto"/>
        </w:rPr>
      </w:pPr>
      <w:r>
        <w:rPr>
          <w:color w:val="auto"/>
        </w:rPr>
        <w:t>应急专家组应急工作职责：</w:t>
      </w:r>
    </w:p>
    <w:p w14:paraId="352A2FA9">
      <w:pPr>
        <w:pStyle w:val="7"/>
        <w:bidi w:val="0"/>
        <w:rPr>
          <w:color w:val="auto"/>
        </w:rPr>
      </w:pPr>
      <w:r>
        <w:rPr>
          <w:color w:val="auto"/>
        </w:rPr>
        <w:t>（1）参与环境突发事件应急工作；</w:t>
      </w:r>
    </w:p>
    <w:p w14:paraId="0DD4C92F">
      <w:pPr>
        <w:pStyle w:val="7"/>
        <w:bidi w:val="0"/>
        <w:rPr>
          <w:color w:val="auto"/>
        </w:rPr>
      </w:pPr>
      <w:r>
        <w:rPr>
          <w:color w:val="auto"/>
        </w:rPr>
        <w:t>（2）指导突发环境事件的现场应急处置工作；</w:t>
      </w:r>
    </w:p>
    <w:p w14:paraId="7E0AE2A0">
      <w:pPr>
        <w:pStyle w:val="7"/>
        <w:bidi w:val="0"/>
        <w:rPr>
          <w:color w:val="auto"/>
        </w:rPr>
      </w:pPr>
      <w:r>
        <w:rPr>
          <w:color w:val="auto"/>
        </w:rPr>
        <w:t>（3）对事件级别进行研判，对采取的应急措施提出建议和进行技术指导，为应急指挥部的决策提供科学依据。</w:t>
      </w:r>
    </w:p>
    <w:p w14:paraId="2E628799">
      <w:pPr>
        <w:pStyle w:val="7"/>
        <w:bidi w:val="0"/>
        <w:rPr>
          <w:b/>
          <w:bCs/>
          <w:color w:val="auto"/>
        </w:rPr>
      </w:pPr>
      <w:r>
        <w:rPr>
          <w:rFonts w:hint="eastAsia"/>
          <w:b/>
          <w:bCs/>
          <w:color w:val="auto"/>
          <w:lang w:val="en-US" w:eastAsia="zh-CN"/>
        </w:rPr>
        <w:t>2.</w:t>
      </w:r>
      <w:r>
        <w:rPr>
          <w:b/>
          <w:bCs/>
          <w:color w:val="auto"/>
        </w:rPr>
        <w:t>综合协调组成员及职责</w:t>
      </w:r>
    </w:p>
    <w:p w14:paraId="19E0E3D4">
      <w:pPr>
        <w:pStyle w:val="7"/>
        <w:bidi w:val="0"/>
        <w:rPr>
          <w:color w:val="auto"/>
        </w:rPr>
      </w:pPr>
      <w:r>
        <w:rPr>
          <w:color w:val="auto"/>
        </w:rPr>
        <w:t>综合协调组设组长1名，由</w:t>
      </w:r>
      <w:r>
        <w:rPr>
          <w:rFonts w:hint="eastAsia"/>
          <w:color w:val="auto"/>
        </w:rPr>
        <w:t>市委办公室副主任</w:t>
      </w:r>
      <w:r>
        <w:rPr>
          <w:color w:val="auto"/>
        </w:rPr>
        <w:t>担任；成员</w:t>
      </w:r>
      <w:r>
        <w:rPr>
          <w:rFonts w:hint="eastAsia"/>
          <w:color w:val="auto"/>
        </w:rPr>
        <w:t>有额尔古纳市交通运输局办公室主任</w:t>
      </w:r>
      <w:r>
        <w:rPr>
          <w:color w:val="auto"/>
        </w:rPr>
        <w:t>。</w:t>
      </w:r>
    </w:p>
    <w:p w14:paraId="11EEE55B">
      <w:pPr>
        <w:pStyle w:val="7"/>
        <w:bidi w:val="0"/>
        <w:ind w:left="0"/>
        <w:rPr>
          <w:rFonts w:hint="eastAsia" w:ascii="Times New Roman" w:hAnsi="Times New Roman" w:cs="Times New Roman"/>
          <w:b/>
          <w:bCs/>
          <w:color w:val="auto"/>
          <w:lang w:val="en-US" w:eastAsia="zh-CN"/>
        </w:rPr>
      </w:pPr>
      <w:r>
        <w:rPr>
          <w:rFonts w:hint="eastAsia" w:ascii="Times New Roman" w:hAnsi="Times New Roman" w:cs="Times New Roman"/>
          <w:b w:val="0"/>
          <w:bCs w:val="0"/>
          <w:color w:val="auto"/>
          <w:lang w:val="en-US" w:eastAsia="zh-CN"/>
        </w:rPr>
        <w:t>综合协调组日常工作职责：</w:t>
      </w:r>
    </w:p>
    <w:p w14:paraId="48A4E31A">
      <w:pPr>
        <w:pStyle w:val="7"/>
        <w:bidi w:val="0"/>
        <w:rPr>
          <w:color w:val="auto"/>
        </w:rPr>
      </w:pPr>
      <w:r>
        <w:rPr>
          <w:color w:val="auto"/>
        </w:rPr>
        <w:t>（1）熟悉疏散路线；</w:t>
      </w:r>
    </w:p>
    <w:p w14:paraId="00E36C26">
      <w:pPr>
        <w:pStyle w:val="7"/>
        <w:bidi w:val="0"/>
        <w:rPr>
          <w:color w:val="auto"/>
        </w:rPr>
      </w:pPr>
      <w:r>
        <w:rPr>
          <w:color w:val="auto"/>
        </w:rPr>
        <w:t>（2）管理好警戒、疏散物资；</w:t>
      </w:r>
    </w:p>
    <w:p w14:paraId="625592F7">
      <w:pPr>
        <w:pStyle w:val="7"/>
        <w:bidi w:val="0"/>
        <w:rPr>
          <w:color w:val="auto"/>
        </w:rPr>
      </w:pPr>
      <w:r>
        <w:rPr>
          <w:color w:val="auto"/>
        </w:rPr>
        <w:t>（3）负责用电设施、车辆的维护及保养；</w:t>
      </w:r>
    </w:p>
    <w:p w14:paraId="5CC70A85">
      <w:pPr>
        <w:pStyle w:val="7"/>
        <w:bidi w:val="0"/>
        <w:rPr>
          <w:color w:val="auto"/>
        </w:rPr>
      </w:pPr>
      <w:r>
        <w:rPr>
          <w:color w:val="auto"/>
        </w:rPr>
        <w:t>（4）参与相关培训及演练，熟悉应急工作。</w:t>
      </w:r>
    </w:p>
    <w:p w14:paraId="6A02CF30">
      <w:pPr>
        <w:pStyle w:val="7"/>
        <w:bidi w:val="0"/>
        <w:rPr>
          <w:color w:val="auto"/>
        </w:rPr>
      </w:pPr>
      <w:r>
        <w:rPr>
          <w:color w:val="auto"/>
        </w:rPr>
        <w:t>综合协调组应急工作职责：</w:t>
      </w:r>
    </w:p>
    <w:p w14:paraId="5F208823">
      <w:pPr>
        <w:pStyle w:val="7"/>
        <w:bidi w:val="0"/>
        <w:rPr>
          <w:color w:val="auto"/>
        </w:rPr>
      </w:pPr>
      <w:r>
        <w:rPr>
          <w:color w:val="auto"/>
        </w:rPr>
        <w:t>（1）阻止非抢险救援人员进入事故现场；</w:t>
      </w:r>
    </w:p>
    <w:p w14:paraId="4308648D">
      <w:pPr>
        <w:pStyle w:val="7"/>
        <w:bidi w:val="0"/>
        <w:rPr>
          <w:color w:val="auto"/>
        </w:rPr>
      </w:pPr>
      <w:r>
        <w:rPr>
          <w:color w:val="auto"/>
        </w:rPr>
        <w:t>（2）负责现场车辆疏导；</w:t>
      </w:r>
    </w:p>
    <w:p w14:paraId="602127CB">
      <w:pPr>
        <w:pStyle w:val="7"/>
        <w:bidi w:val="0"/>
        <w:rPr>
          <w:color w:val="auto"/>
        </w:rPr>
      </w:pPr>
      <w:r>
        <w:rPr>
          <w:color w:val="auto"/>
        </w:rPr>
        <w:t>（3）根据指挥部的指令及时疏散人员；</w:t>
      </w:r>
    </w:p>
    <w:p w14:paraId="7C80D6D1">
      <w:pPr>
        <w:pStyle w:val="7"/>
        <w:bidi w:val="0"/>
        <w:rPr>
          <w:color w:val="auto"/>
        </w:rPr>
      </w:pPr>
      <w:r>
        <w:rPr>
          <w:color w:val="auto"/>
        </w:rPr>
        <w:t>（4）负责事故现场隔离区域和疏散区域的警戒和交通管制；</w:t>
      </w:r>
    </w:p>
    <w:p w14:paraId="653F25B2">
      <w:pPr>
        <w:pStyle w:val="7"/>
        <w:bidi w:val="0"/>
        <w:rPr>
          <w:color w:val="auto"/>
        </w:rPr>
      </w:pPr>
      <w:r>
        <w:rPr>
          <w:color w:val="auto"/>
        </w:rPr>
        <w:t>（5）确保各专业队与事故现场指挥部广播和通讯的畅通；</w:t>
      </w:r>
    </w:p>
    <w:p w14:paraId="63588D44">
      <w:pPr>
        <w:pStyle w:val="7"/>
        <w:bidi w:val="0"/>
        <w:rPr>
          <w:color w:val="auto"/>
        </w:rPr>
      </w:pPr>
      <w:r>
        <w:rPr>
          <w:color w:val="auto"/>
        </w:rPr>
        <w:t>（6）负责修复用电设施或敷设临时线路，保证事故用电，维修各种造成损害的其他急用设备设施；</w:t>
      </w:r>
    </w:p>
    <w:p w14:paraId="3A192944">
      <w:pPr>
        <w:pStyle w:val="7"/>
        <w:bidi w:val="0"/>
        <w:rPr>
          <w:color w:val="auto"/>
        </w:rPr>
      </w:pPr>
      <w:r>
        <w:rPr>
          <w:color w:val="auto"/>
        </w:rPr>
        <w:t>（7）按总指挥部命令，恢复供电或切断电源。</w:t>
      </w:r>
    </w:p>
    <w:p w14:paraId="2F2CD58A">
      <w:pPr>
        <w:pStyle w:val="7"/>
        <w:bidi w:val="0"/>
        <w:ind w:left="0"/>
        <w:rPr>
          <w:rFonts w:hint="eastAsia" w:ascii="Times New Roman" w:hAnsi="Times New Roman" w:cs="Times New Roman"/>
          <w:b/>
          <w:bCs/>
          <w:color w:val="auto"/>
          <w:lang w:val="en-US" w:eastAsia="zh-CN"/>
        </w:rPr>
      </w:pPr>
      <w:r>
        <w:rPr>
          <w:rFonts w:hint="eastAsia" w:cs="Times New Roman"/>
          <w:b/>
          <w:bCs/>
          <w:color w:val="auto"/>
          <w:lang w:val="en-US" w:eastAsia="zh-CN"/>
        </w:rPr>
        <w:t>3</w:t>
      </w:r>
      <w:r>
        <w:rPr>
          <w:rFonts w:hint="eastAsia" w:ascii="Times New Roman" w:hAnsi="Times New Roman" w:cs="Times New Roman"/>
          <w:b/>
          <w:bCs/>
          <w:color w:val="auto"/>
          <w:lang w:val="en-US" w:eastAsia="zh-CN"/>
        </w:rPr>
        <w:t>.现场处置组成员及职责</w:t>
      </w:r>
    </w:p>
    <w:p w14:paraId="4E1685DF">
      <w:pPr>
        <w:pStyle w:val="7"/>
        <w:bidi w:val="0"/>
        <w:rPr>
          <w:color w:val="auto"/>
        </w:rPr>
      </w:pPr>
      <w:r>
        <w:rPr>
          <w:color w:val="auto"/>
        </w:rPr>
        <w:t>现场处置组设组长1名，由呼伦贝尔市生态环境局</w:t>
      </w:r>
      <w:r>
        <w:rPr>
          <w:rFonts w:hint="eastAsia"/>
          <w:color w:val="auto"/>
        </w:rPr>
        <w:t>额尔古纳市分局</w:t>
      </w:r>
      <w:r>
        <w:rPr>
          <w:rFonts w:hint="eastAsia"/>
          <w:color w:val="auto"/>
          <w:lang w:val="en-US" w:eastAsia="zh-CN"/>
        </w:rPr>
        <w:t>副</w:t>
      </w:r>
      <w:r>
        <w:rPr>
          <w:color w:val="auto"/>
        </w:rPr>
        <w:t>局长担任；副组长1名，由</w:t>
      </w:r>
      <w:r>
        <w:rPr>
          <w:rFonts w:hint="eastAsia"/>
          <w:color w:val="auto"/>
        </w:rPr>
        <w:t>额尔古纳市</w:t>
      </w:r>
      <w:r>
        <w:rPr>
          <w:color w:val="auto"/>
        </w:rPr>
        <w:t>消防救援大队大队长担任，成员</w:t>
      </w:r>
      <w:r>
        <w:rPr>
          <w:rFonts w:hint="eastAsia"/>
          <w:color w:val="auto"/>
        </w:rPr>
        <w:t>有工业和信息化局、公安局、自然资源局、交通运输局、农牧和科技局（水利局）等</w:t>
      </w:r>
      <w:r>
        <w:rPr>
          <w:color w:val="auto"/>
        </w:rPr>
        <w:t>。</w:t>
      </w:r>
    </w:p>
    <w:p w14:paraId="1DE007AE">
      <w:pPr>
        <w:pStyle w:val="7"/>
        <w:bidi w:val="0"/>
        <w:ind w:left="0"/>
        <w:rPr>
          <w:rFonts w:hint="eastAsia" w:ascii="Times New Roman" w:hAnsi="Times New Roman" w:cs="Times New Roman"/>
          <w:b/>
          <w:bCs/>
          <w:color w:val="auto"/>
          <w:lang w:val="en-US" w:eastAsia="zh-CN"/>
        </w:rPr>
      </w:pPr>
      <w:r>
        <w:rPr>
          <w:rFonts w:hint="eastAsia" w:ascii="Times New Roman" w:hAnsi="Times New Roman" w:cs="Times New Roman"/>
          <w:b w:val="0"/>
          <w:bCs w:val="0"/>
          <w:color w:val="auto"/>
          <w:lang w:val="en-US" w:eastAsia="zh-CN"/>
        </w:rPr>
        <w:t>现场处置组日产工作职责</w:t>
      </w:r>
      <w:r>
        <w:rPr>
          <w:rFonts w:hint="eastAsia" w:ascii="Times New Roman" w:hAnsi="Times New Roman" w:cs="Times New Roman"/>
          <w:b/>
          <w:bCs/>
          <w:color w:val="auto"/>
          <w:lang w:val="en-US" w:eastAsia="zh-CN"/>
        </w:rPr>
        <w:t>：</w:t>
      </w:r>
    </w:p>
    <w:p w14:paraId="7CE8BF18">
      <w:pPr>
        <w:pStyle w:val="7"/>
        <w:bidi w:val="0"/>
        <w:rPr>
          <w:color w:val="auto"/>
        </w:rPr>
      </w:pPr>
      <w:r>
        <w:rPr>
          <w:color w:val="auto"/>
        </w:rPr>
        <w:t>（1）负责消防和其他应急抢险、抢修设备的管理和维护工作；</w:t>
      </w:r>
    </w:p>
    <w:p w14:paraId="01DF0F78">
      <w:pPr>
        <w:pStyle w:val="7"/>
        <w:bidi w:val="0"/>
        <w:rPr>
          <w:color w:val="auto"/>
        </w:rPr>
      </w:pPr>
      <w:r>
        <w:rPr>
          <w:color w:val="auto"/>
        </w:rPr>
        <w:t>（2）熟悉抢险和抢修工作的步骤，积极参与培训、演练及不断总结等工作，保证事故下的及时抢险抢修。</w:t>
      </w:r>
    </w:p>
    <w:p w14:paraId="172ACE5C">
      <w:pPr>
        <w:pStyle w:val="7"/>
        <w:bidi w:val="0"/>
        <w:rPr>
          <w:color w:val="auto"/>
        </w:rPr>
      </w:pPr>
      <w:r>
        <w:rPr>
          <w:color w:val="auto"/>
        </w:rPr>
        <w:t>现场处置组应急工作职责：</w:t>
      </w:r>
    </w:p>
    <w:p w14:paraId="625DCEED">
      <w:pPr>
        <w:pStyle w:val="7"/>
        <w:bidi w:val="0"/>
        <w:rPr>
          <w:color w:val="auto"/>
        </w:rPr>
      </w:pPr>
      <w:r>
        <w:rPr>
          <w:color w:val="auto"/>
        </w:rPr>
        <w:t>（1）负责紧急状态下现场排险、控险、灭火等各项工作；</w:t>
      </w:r>
    </w:p>
    <w:p w14:paraId="4A6AEEDB">
      <w:pPr>
        <w:pStyle w:val="7"/>
        <w:bidi w:val="0"/>
        <w:rPr>
          <w:color w:val="auto"/>
        </w:rPr>
      </w:pPr>
      <w:r>
        <w:rPr>
          <w:color w:val="auto"/>
        </w:rPr>
        <w:t>（2）负责抢修被事故破坏的设备、道路交通设施、通讯设施；</w:t>
      </w:r>
    </w:p>
    <w:p w14:paraId="1D8C623F">
      <w:pPr>
        <w:pStyle w:val="7"/>
        <w:bidi w:val="0"/>
        <w:rPr>
          <w:color w:val="auto"/>
        </w:rPr>
      </w:pPr>
      <w:r>
        <w:rPr>
          <w:color w:val="auto"/>
        </w:rPr>
        <w:t>（3）负责抢救遇险人员，转移物资；</w:t>
      </w:r>
    </w:p>
    <w:p w14:paraId="0608F7BB">
      <w:pPr>
        <w:pStyle w:val="7"/>
        <w:bidi w:val="0"/>
        <w:rPr>
          <w:color w:val="auto"/>
        </w:rPr>
      </w:pPr>
      <w:r>
        <w:rPr>
          <w:color w:val="auto"/>
        </w:rPr>
        <w:t>（4）及时掌握事故的变化情况，提出响应措施；</w:t>
      </w:r>
    </w:p>
    <w:p w14:paraId="7F7976C2">
      <w:pPr>
        <w:pStyle w:val="7"/>
        <w:bidi w:val="0"/>
        <w:rPr>
          <w:color w:val="auto"/>
        </w:rPr>
      </w:pPr>
      <w:r>
        <w:rPr>
          <w:color w:val="auto"/>
        </w:rPr>
        <w:t>（5）根据事故变化及时向指挥部报告，以便统筹调度与救灾有关的各方面的人力和物力。</w:t>
      </w:r>
    </w:p>
    <w:p w14:paraId="01A15B58">
      <w:pPr>
        <w:pStyle w:val="7"/>
        <w:bidi w:val="0"/>
        <w:rPr>
          <w:color w:val="auto"/>
        </w:rPr>
      </w:pPr>
      <w:r>
        <w:rPr>
          <w:rFonts w:hint="eastAsia"/>
          <w:b/>
          <w:bCs/>
          <w:color w:val="auto"/>
          <w:lang w:val="en-US" w:eastAsia="zh-CN"/>
        </w:rPr>
        <w:t>4.</w:t>
      </w:r>
      <w:r>
        <w:rPr>
          <w:b/>
          <w:bCs/>
          <w:color w:val="auto"/>
        </w:rPr>
        <w:t>应急监测组成员及职责</w:t>
      </w:r>
    </w:p>
    <w:p w14:paraId="7D39E9A7">
      <w:pPr>
        <w:pStyle w:val="7"/>
        <w:bidi w:val="0"/>
        <w:rPr>
          <w:color w:val="auto"/>
        </w:rPr>
      </w:pPr>
      <w:r>
        <w:rPr>
          <w:color w:val="auto"/>
        </w:rPr>
        <w:t>应急监测组设组长1名，由呼伦贝尔市生态环境局</w:t>
      </w:r>
      <w:r>
        <w:rPr>
          <w:rFonts w:hint="eastAsia"/>
          <w:color w:val="auto"/>
        </w:rPr>
        <w:t>额尔古纳市分局副</w:t>
      </w:r>
      <w:r>
        <w:rPr>
          <w:color w:val="auto"/>
        </w:rPr>
        <w:t>局长担任；副组长2名，分别由</w:t>
      </w:r>
      <w:r>
        <w:rPr>
          <w:rFonts w:hint="eastAsia"/>
          <w:color w:val="auto"/>
        </w:rPr>
        <w:t>额尔古纳市</w:t>
      </w:r>
      <w:r>
        <w:rPr>
          <w:color w:val="auto"/>
        </w:rPr>
        <w:t>水利局</w:t>
      </w:r>
      <w:r>
        <w:rPr>
          <w:rFonts w:hint="eastAsia"/>
          <w:color w:val="auto"/>
        </w:rPr>
        <w:t>副</w:t>
      </w:r>
      <w:r>
        <w:rPr>
          <w:color w:val="auto"/>
        </w:rPr>
        <w:t>局长和</w:t>
      </w:r>
      <w:r>
        <w:rPr>
          <w:rFonts w:hint="eastAsia"/>
          <w:color w:val="auto"/>
        </w:rPr>
        <w:t>额尔古纳市生态环境监测中心副</w:t>
      </w:r>
      <w:r>
        <w:rPr>
          <w:rFonts w:hint="eastAsia"/>
          <w:color w:val="auto"/>
          <w:lang w:eastAsia="zh-Hans"/>
        </w:rPr>
        <w:t>主任</w:t>
      </w:r>
      <w:r>
        <w:rPr>
          <w:color w:val="auto"/>
        </w:rPr>
        <w:t>担任，成员</w:t>
      </w:r>
      <w:r>
        <w:rPr>
          <w:rFonts w:hint="eastAsia"/>
          <w:color w:val="auto"/>
        </w:rPr>
        <w:t>有自然资源局</w:t>
      </w:r>
      <w:r>
        <w:rPr>
          <w:color w:val="auto"/>
        </w:rPr>
        <w:t>。</w:t>
      </w:r>
    </w:p>
    <w:p w14:paraId="01ABF71A">
      <w:pPr>
        <w:pStyle w:val="7"/>
        <w:bidi w:val="0"/>
        <w:rPr>
          <w:color w:val="auto"/>
        </w:rPr>
      </w:pPr>
      <w:r>
        <w:rPr>
          <w:b w:val="0"/>
          <w:bCs w:val="0"/>
          <w:color w:val="auto"/>
        </w:rPr>
        <w:t>应急监测组日常工作职责：</w:t>
      </w:r>
    </w:p>
    <w:p w14:paraId="783F16E4">
      <w:pPr>
        <w:pStyle w:val="7"/>
        <w:bidi w:val="0"/>
        <w:rPr>
          <w:color w:val="auto"/>
        </w:rPr>
      </w:pPr>
      <w:r>
        <w:rPr>
          <w:color w:val="auto"/>
        </w:rPr>
        <w:t>（1）负责日常大气和水体的监测；</w:t>
      </w:r>
    </w:p>
    <w:p w14:paraId="6DC7C2E9">
      <w:pPr>
        <w:pStyle w:val="7"/>
        <w:bidi w:val="0"/>
        <w:rPr>
          <w:color w:val="auto"/>
        </w:rPr>
      </w:pPr>
      <w:r>
        <w:rPr>
          <w:color w:val="auto"/>
        </w:rPr>
        <w:t>（2）负责应急监测物资与设备的维护和保养；</w:t>
      </w:r>
    </w:p>
    <w:p w14:paraId="366F355A">
      <w:pPr>
        <w:pStyle w:val="7"/>
        <w:bidi w:val="0"/>
        <w:rPr>
          <w:color w:val="auto"/>
        </w:rPr>
      </w:pPr>
      <w:r>
        <w:rPr>
          <w:color w:val="auto"/>
        </w:rPr>
        <w:t>（3）参与相关应急培训与演练，熟悉应急工作，并负责制定其中的应急监测方案。</w:t>
      </w:r>
    </w:p>
    <w:p w14:paraId="3D3CA06E">
      <w:pPr>
        <w:pStyle w:val="7"/>
        <w:bidi w:val="0"/>
        <w:rPr>
          <w:color w:val="auto"/>
        </w:rPr>
      </w:pPr>
      <w:r>
        <w:rPr>
          <w:color w:val="auto"/>
        </w:rPr>
        <w:t>应急监测组应急工作职责：</w:t>
      </w:r>
    </w:p>
    <w:p w14:paraId="7C68540B">
      <w:pPr>
        <w:pStyle w:val="7"/>
        <w:bidi w:val="0"/>
        <w:rPr>
          <w:color w:val="auto"/>
        </w:rPr>
      </w:pPr>
      <w:r>
        <w:rPr>
          <w:color w:val="auto"/>
        </w:rPr>
        <w:t>（1）负责事故状态下的大气、水体、土壤应急监测，化验、分析数据以及预警建议；</w:t>
      </w:r>
    </w:p>
    <w:p w14:paraId="6B757684">
      <w:pPr>
        <w:pStyle w:val="7"/>
        <w:bidi w:val="0"/>
        <w:rPr>
          <w:color w:val="auto"/>
        </w:rPr>
      </w:pPr>
      <w:r>
        <w:rPr>
          <w:color w:val="auto"/>
        </w:rPr>
        <w:t>（2）根据突发环境事件情况和现场应急指挥部要求，制定现场监测方案；</w:t>
      </w:r>
    </w:p>
    <w:p w14:paraId="6DFB59DD">
      <w:pPr>
        <w:pStyle w:val="7"/>
        <w:bidi w:val="0"/>
        <w:rPr>
          <w:color w:val="auto"/>
        </w:rPr>
      </w:pPr>
      <w:r>
        <w:rPr>
          <w:color w:val="auto"/>
        </w:rPr>
        <w:t>（3）负责事件现场布点监测、采样及分析化验，及时报告监测结果；</w:t>
      </w:r>
    </w:p>
    <w:p w14:paraId="7FE2494A">
      <w:pPr>
        <w:pStyle w:val="7"/>
        <w:bidi w:val="0"/>
        <w:rPr>
          <w:color w:val="auto"/>
        </w:rPr>
      </w:pPr>
      <w:r>
        <w:rPr>
          <w:color w:val="auto"/>
        </w:rPr>
        <w:t>（4）通过趋势分析性监测，分析和预测污染可能影响的范围以及事件发展趋势；</w:t>
      </w:r>
    </w:p>
    <w:p w14:paraId="73860F04">
      <w:pPr>
        <w:pStyle w:val="7"/>
        <w:bidi w:val="0"/>
        <w:rPr>
          <w:color w:val="auto"/>
        </w:rPr>
      </w:pPr>
      <w:r>
        <w:rPr>
          <w:color w:val="auto"/>
        </w:rPr>
        <w:t>（5）提供环境损害评估及环境恢复过程中的环境监测数据；</w:t>
      </w:r>
    </w:p>
    <w:p w14:paraId="0C8437F8">
      <w:pPr>
        <w:pStyle w:val="7"/>
        <w:bidi w:val="0"/>
        <w:rPr>
          <w:color w:val="auto"/>
        </w:rPr>
      </w:pPr>
      <w:r>
        <w:rPr>
          <w:color w:val="auto"/>
        </w:rPr>
        <w:t>（6）参与事件现场调查取证和事件性质、等级的认定。</w:t>
      </w:r>
    </w:p>
    <w:p w14:paraId="67C08233">
      <w:pPr>
        <w:pStyle w:val="7"/>
        <w:bidi w:val="0"/>
        <w:rPr>
          <w:color w:val="auto"/>
        </w:rPr>
      </w:pPr>
      <w:r>
        <w:rPr>
          <w:rFonts w:hint="eastAsia"/>
          <w:b/>
          <w:bCs/>
          <w:color w:val="auto"/>
          <w:lang w:val="en-US" w:eastAsia="zh-CN"/>
        </w:rPr>
        <w:t>5.</w:t>
      </w:r>
      <w:r>
        <w:rPr>
          <w:b/>
          <w:bCs/>
          <w:color w:val="auto"/>
        </w:rPr>
        <w:t>应急保障组成员及职责</w:t>
      </w:r>
    </w:p>
    <w:p w14:paraId="70E07957">
      <w:pPr>
        <w:pStyle w:val="7"/>
        <w:bidi w:val="0"/>
        <w:rPr>
          <w:rFonts w:hint="eastAsia" w:eastAsia="仿宋"/>
          <w:color w:val="auto"/>
          <w:lang w:eastAsia="zh-CN"/>
        </w:rPr>
      </w:pPr>
      <w:r>
        <w:rPr>
          <w:color w:val="auto"/>
        </w:rPr>
        <w:t>应急保障组设组长1名，由</w:t>
      </w:r>
      <w:r>
        <w:rPr>
          <w:rFonts w:hint="eastAsia"/>
          <w:color w:val="auto"/>
        </w:rPr>
        <w:t>额尔古纳市</w:t>
      </w:r>
      <w:r>
        <w:rPr>
          <w:color w:val="auto"/>
        </w:rPr>
        <w:t>人民政府</w:t>
      </w:r>
      <w:r>
        <w:rPr>
          <w:rFonts w:hint="eastAsia"/>
          <w:color w:val="auto"/>
        </w:rPr>
        <w:t>办公室主任</w:t>
      </w:r>
      <w:r>
        <w:rPr>
          <w:color w:val="auto"/>
        </w:rPr>
        <w:t>担任；副组长</w:t>
      </w:r>
      <w:r>
        <w:rPr>
          <w:rFonts w:hint="eastAsia"/>
          <w:color w:val="auto"/>
          <w:lang w:val="en-US" w:eastAsia="zh-CN"/>
        </w:rPr>
        <w:t>1</w:t>
      </w:r>
      <w:r>
        <w:rPr>
          <w:color w:val="auto"/>
        </w:rPr>
        <w:t>名，由</w:t>
      </w:r>
      <w:r>
        <w:rPr>
          <w:rFonts w:hint="eastAsia"/>
          <w:color w:val="auto"/>
        </w:rPr>
        <w:t>额尔古纳市</w:t>
      </w:r>
      <w:r>
        <w:rPr>
          <w:color w:val="auto"/>
        </w:rPr>
        <w:t>财政局局长担任，成员</w:t>
      </w:r>
      <w:r>
        <w:rPr>
          <w:rFonts w:hint="eastAsia"/>
          <w:color w:val="auto"/>
        </w:rPr>
        <w:t>有发展改革委、工业和信息化局、住房城乡建设局、交通运输局</w:t>
      </w:r>
      <w:r>
        <w:rPr>
          <w:rFonts w:hint="eastAsia"/>
          <w:color w:val="auto"/>
          <w:lang w:eastAsia="zh-CN"/>
        </w:rPr>
        <w:t>、</w:t>
      </w:r>
      <w:r>
        <w:rPr>
          <w:rFonts w:hint="eastAsia"/>
          <w:color w:val="auto"/>
        </w:rPr>
        <w:t>民政局</w:t>
      </w:r>
      <w:r>
        <w:rPr>
          <w:rFonts w:hint="eastAsia"/>
          <w:color w:val="auto"/>
          <w:lang w:eastAsia="zh-CN"/>
        </w:rPr>
        <w:t>。</w:t>
      </w:r>
    </w:p>
    <w:p w14:paraId="28E139A8">
      <w:pPr>
        <w:pStyle w:val="7"/>
        <w:bidi w:val="0"/>
        <w:rPr>
          <w:color w:val="auto"/>
        </w:rPr>
      </w:pPr>
      <w:r>
        <w:rPr>
          <w:b w:val="0"/>
          <w:bCs w:val="0"/>
          <w:color w:val="auto"/>
        </w:rPr>
        <w:t>应急保障组日常工作职责：</w:t>
      </w:r>
    </w:p>
    <w:p w14:paraId="1EBBE703">
      <w:pPr>
        <w:pStyle w:val="7"/>
        <w:bidi w:val="0"/>
        <w:rPr>
          <w:color w:val="auto"/>
        </w:rPr>
      </w:pPr>
      <w:r>
        <w:rPr>
          <w:color w:val="auto"/>
        </w:rPr>
        <w:t>（1）负责人员救护及救援行动所需物资的准备及其维护等管理工作；</w:t>
      </w:r>
    </w:p>
    <w:p w14:paraId="2F3830D0">
      <w:pPr>
        <w:pStyle w:val="7"/>
        <w:bidi w:val="0"/>
        <w:rPr>
          <w:color w:val="auto"/>
        </w:rPr>
      </w:pPr>
      <w:r>
        <w:rPr>
          <w:color w:val="auto"/>
        </w:rPr>
        <w:t>（2）参与相关培训及演练，熟悉应急工作。</w:t>
      </w:r>
    </w:p>
    <w:p w14:paraId="0BF53B7E">
      <w:pPr>
        <w:pStyle w:val="7"/>
        <w:bidi w:val="0"/>
        <w:rPr>
          <w:color w:val="auto"/>
        </w:rPr>
      </w:pPr>
      <w:r>
        <w:rPr>
          <w:color w:val="auto"/>
        </w:rPr>
        <w:t>应急保障组应急工作职责：</w:t>
      </w:r>
    </w:p>
    <w:p w14:paraId="2E8F5218">
      <w:pPr>
        <w:pStyle w:val="7"/>
        <w:bidi w:val="0"/>
        <w:rPr>
          <w:color w:val="auto"/>
        </w:rPr>
      </w:pPr>
      <w:r>
        <w:rPr>
          <w:color w:val="auto"/>
        </w:rPr>
        <w:t>（1）负责车辆的安排和调配；</w:t>
      </w:r>
    </w:p>
    <w:p w14:paraId="56E89310">
      <w:pPr>
        <w:pStyle w:val="7"/>
        <w:bidi w:val="0"/>
        <w:rPr>
          <w:color w:val="auto"/>
        </w:rPr>
      </w:pPr>
      <w:r>
        <w:rPr>
          <w:color w:val="auto"/>
        </w:rPr>
        <w:t>（2）组织做好环境应急救援物资及临时安置重要物资的储备、调拨和紧急配送工作，实施交通调度，提供电力、通信、燃气、饮水保障，提供应急救援资金；</w:t>
      </w:r>
    </w:p>
    <w:p w14:paraId="5BE846EB">
      <w:pPr>
        <w:pStyle w:val="7"/>
        <w:bidi w:val="0"/>
        <w:rPr>
          <w:color w:val="auto"/>
        </w:rPr>
      </w:pPr>
      <w:r>
        <w:rPr>
          <w:color w:val="auto"/>
        </w:rPr>
        <w:t>（3）及时组织调运重要生活必需品，组织受突发环境事件影响人员的转移、安置，以及临时基本生活救助，保障群众基本生活和市场供应；</w:t>
      </w:r>
    </w:p>
    <w:p w14:paraId="7E98C336">
      <w:pPr>
        <w:pStyle w:val="7"/>
        <w:bidi w:val="0"/>
        <w:rPr>
          <w:color w:val="auto"/>
        </w:rPr>
      </w:pPr>
      <w:r>
        <w:rPr>
          <w:color w:val="auto"/>
        </w:rPr>
        <w:t>（4）负责现场应急处置工作人员食宿等基本生活保障；</w:t>
      </w:r>
    </w:p>
    <w:p w14:paraId="10EB4346">
      <w:pPr>
        <w:pStyle w:val="7"/>
        <w:bidi w:val="0"/>
        <w:rPr>
          <w:color w:val="auto"/>
        </w:rPr>
      </w:pPr>
      <w:r>
        <w:rPr>
          <w:color w:val="auto"/>
        </w:rPr>
        <w:t>（5）统筹规划应急物资储备点和应急避灾场所。</w:t>
      </w:r>
    </w:p>
    <w:p w14:paraId="205B7CC7">
      <w:pPr>
        <w:pStyle w:val="7"/>
        <w:bidi w:val="0"/>
        <w:rPr>
          <w:color w:val="auto"/>
        </w:rPr>
      </w:pPr>
      <w:r>
        <w:rPr>
          <w:color w:val="auto"/>
        </w:rPr>
        <w:t>（6）负责善后处置工作，包括人员安置、补偿、征用物资补偿，救援费用的支付，灾后重建，污染物收集、清理与处理等事项；</w:t>
      </w:r>
    </w:p>
    <w:p w14:paraId="7A809AFB">
      <w:pPr>
        <w:pStyle w:val="7"/>
        <w:bidi w:val="0"/>
        <w:rPr>
          <w:rFonts w:hint="default" w:eastAsia="仿宋"/>
          <w:color w:val="auto"/>
          <w:lang w:val="en-US" w:eastAsia="zh-CN"/>
        </w:rPr>
      </w:pPr>
      <w:r>
        <w:rPr>
          <w:rFonts w:hint="eastAsia"/>
          <w:color w:val="auto"/>
          <w:lang w:val="en-US" w:eastAsia="zh-CN"/>
        </w:rPr>
        <w:t>上述工作职责由成员共同承担。</w:t>
      </w:r>
    </w:p>
    <w:p w14:paraId="16A0A00A">
      <w:pPr>
        <w:pStyle w:val="7"/>
        <w:bidi w:val="0"/>
        <w:rPr>
          <w:color w:val="auto"/>
        </w:rPr>
      </w:pPr>
      <w:r>
        <w:rPr>
          <w:rFonts w:hint="eastAsia"/>
          <w:b/>
          <w:bCs/>
          <w:color w:val="auto"/>
          <w:lang w:val="en-US" w:eastAsia="zh-CN"/>
        </w:rPr>
        <w:t>6.</w:t>
      </w:r>
      <w:r>
        <w:rPr>
          <w:b/>
          <w:bCs/>
          <w:color w:val="auto"/>
        </w:rPr>
        <w:t>医疗救护组成员及职责</w:t>
      </w:r>
    </w:p>
    <w:p w14:paraId="45490207">
      <w:pPr>
        <w:pStyle w:val="7"/>
        <w:bidi w:val="0"/>
        <w:rPr>
          <w:color w:val="auto"/>
        </w:rPr>
      </w:pPr>
      <w:r>
        <w:rPr>
          <w:color w:val="auto"/>
        </w:rPr>
        <w:t>医疗救护组</w:t>
      </w:r>
      <w:r>
        <w:rPr>
          <w:rFonts w:hint="eastAsia"/>
          <w:color w:val="auto"/>
        </w:rPr>
        <w:t>设立</w:t>
      </w:r>
      <w:r>
        <w:rPr>
          <w:color w:val="auto"/>
        </w:rPr>
        <w:t>组长</w:t>
      </w:r>
      <w:r>
        <w:rPr>
          <w:rFonts w:hint="eastAsia"/>
          <w:color w:val="auto"/>
        </w:rPr>
        <w:t>1名</w:t>
      </w:r>
      <w:r>
        <w:rPr>
          <w:color w:val="auto"/>
        </w:rPr>
        <w:t>由</w:t>
      </w:r>
      <w:r>
        <w:rPr>
          <w:rFonts w:hint="eastAsia"/>
          <w:color w:val="auto"/>
        </w:rPr>
        <w:t>额尔古纳市</w:t>
      </w:r>
      <w:r>
        <w:rPr>
          <w:color w:val="auto"/>
        </w:rPr>
        <w:t>卫生健康</w:t>
      </w:r>
      <w:r>
        <w:rPr>
          <w:rFonts w:hint="eastAsia"/>
          <w:color w:val="auto"/>
        </w:rPr>
        <w:t>委员会主任</w:t>
      </w:r>
      <w:r>
        <w:rPr>
          <w:color w:val="auto"/>
        </w:rPr>
        <w:t>担任</w:t>
      </w:r>
      <w:r>
        <w:rPr>
          <w:rFonts w:hint="eastAsia"/>
          <w:color w:val="auto"/>
        </w:rPr>
        <w:t>，</w:t>
      </w:r>
      <w:r>
        <w:rPr>
          <w:color w:val="auto"/>
        </w:rPr>
        <w:t>副组长</w:t>
      </w:r>
      <w:r>
        <w:rPr>
          <w:rFonts w:hint="eastAsia"/>
          <w:color w:val="auto"/>
        </w:rPr>
        <w:t>由额尔古纳市</w:t>
      </w:r>
      <w:r>
        <w:rPr>
          <w:color w:val="auto"/>
        </w:rPr>
        <w:t>卫生健康</w:t>
      </w:r>
      <w:r>
        <w:rPr>
          <w:rFonts w:hint="eastAsia"/>
          <w:color w:val="auto"/>
        </w:rPr>
        <w:t>委员会</w:t>
      </w:r>
      <w:r>
        <w:rPr>
          <w:rFonts w:hint="eastAsia"/>
          <w:color w:val="auto"/>
          <w:lang w:val="en-US" w:eastAsia="zh-CN"/>
        </w:rPr>
        <w:t>办公室</w:t>
      </w:r>
      <w:r>
        <w:rPr>
          <w:rFonts w:hint="eastAsia"/>
          <w:color w:val="auto"/>
        </w:rPr>
        <w:t>主任担任</w:t>
      </w:r>
      <w:r>
        <w:rPr>
          <w:color w:val="auto"/>
        </w:rPr>
        <w:t>。</w:t>
      </w:r>
    </w:p>
    <w:p w14:paraId="10F9C69D">
      <w:pPr>
        <w:pStyle w:val="7"/>
        <w:bidi w:val="0"/>
        <w:rPr>
          <w:color w:val="auto"/>
        </w:rPr>
      </w:pPr>
      <w:r>
        <w:rPr>
          <w:color w:val="auto"/>
        </w:rPr>
        <w:t>医疗救护组日常工作职责：</w:t>
      </w:r>
    </w:p>
    <w:p w14:paraId="48A5F3FA">
      <w:pPr>
        <w:pStyle w:val="7"/>
        <w:bidi w:val="0"/>
        <w:rPr>
          <w:color w:val="auto"/>
        </w:rPr>
      </w:pPr>
      <w:r>
        <w:rPr>
          <w:color w:val="auto"/>
        </w:rPr>
        <w:t>（1）负责人员救护所需物资的准备及其维护等管理工作；</w:t>
      </w:r>
    </w:p>
    <w:p w14:paraId="240FE5DE">
      <w:pPr>
        <w:pStyle w:val="7"/>
        <w:bidi w:val="0"/>
        <w:rPr>
          <w:color w:val="auto"/>
        </w:rPr>
      </w:pPr>
      <w:r>
        <w:rPr>
          <w:color w:val="auto"/>
        </w:rPr>
        <w:t>（2）参与相关培训及演练，熟悉应急工作。</w:t>
      </w:r>
    </w:p>
    <w:p w14:paraId="2C68985B">
      <w:pPr>
        <w:pStyle w:val="7"/>
        <w:bidi w:val="0"/>
        <w:rPr>
          <w:color w:val="auto"/>
        </w:rPr>
      </w:pPr>
      <w:r>
        <w:rPr>
          <w:color w:val="auto"/>
        </w:rPr>
        <w:t>医疗救护组应急工作职责：</w:t>
      </w:r>
    </w:p>
    <w:p w14:paraId="7ED2F109">
      <w:pPr>
        <w:pStyle w:val="7"/>
        <w:bidi w:val="0"/>
        <w:rPr>
          <w:color w:val="auto"/>
        </w:rPr>
      </w:pPr>
      <w:r>
        <w:rPr>
          <w:color w:val="auto"/>
        </w:rPr>
        <w:t>（1）负责组织、协调、指导开展在突发环境事件中受伤（中毒）人员的现场应急医疗救援、转诊救治、卫生防疫、心理救援等紧急医学救援工作；</w:t>
      </w:r>
    </w:p>
    <w:p w14:paraId="5D886702">
      <w:pPr>
        <w:pStyle w:val="7"/>
        <w:bidi w:val="0"/>
        <w:rPr>
          <w:color w:val="auto"/>
        </w:rPr>
      </w:pPr>
      <w:r>
        <w:rPr>
          <w:color w:val="auto"/>
        </w:rPr>
        <w:t>（2）负责协调、组派医疗卫生救援专家与应急队伍，调集医疗、防疫器械、药品并提供医疗救助；</w:t>
      </w:r>
    </w:p>
    <w:p w14:paraId="2CAD1264">
      <w:pPr>
        <w:pStyle w:val="7"/>
        <w:bidi w:val="0"/>
        <w:rPr>
          <w:color w:val="auto"/>
        </w:rPr>
      </w:pPr>
      <w:r>
        <w:rPr>
          <w:color w:val="auto"/>
        </w:rPr>
        <w:t>（3）</w:t>
      </w:r>
      <w:r>
        <w:rPr>
          <w:rFonts w:hint="eastAsia"/>
          <w:color w:val="auto"/>
          <w:lang w:val="en-US" w:eastAsia="zh-CN"/>
        </w:rPr>
        <w:t>科普教育周边居民及受影响人员禁止食用突发环境事件导致</w:t>
      </w:r>
      <w:r>
        <w:rPr>
          <w:color w:val="auto"/>
        </w:rPr>
        <w:t>污染的食品、饮用水，防范因突发环境事件造成集体中毒等；</w:t>
      </w:r>
    </w:p>
    <w:p w14:paraId="6C894A69">
      <w:pPr>
        <w:pStyle w:val="7"/>
        <w:bidi w:val="0"/>
        <w:rPr>
          <w:color w:val="auto"/>
        </w:rPr>
      </w:pPr>
      <w:r>
        <w:rPr>
          <w:color w:val="auto"/>
        </w:rPr>
        <w:t>（4）配合有关部门确定突发环境事件导致健康危害的性质及范围。</w:t>
      </w:r>
    </w:p>
    <w:p w14:paraId="5F77BDA5">
      <w:pPr>
        <w:pStyle w:val="7"/>
        <w:bidi w:val="0"/>
        <w:rPr>
          <w:color w:val="auto"/>
        </w:rPr>
      </w:pPr>
      <w:r>
        <w:rPr>
          <w:rFonts w:hint="eastAsia"/>
          <w:b/>
          <w:bCs/>
          <w:color w:val="auto"/>
          <w:lang w:val="en-US" w:eastAsia="zh-CN"/>
        </w:rPr>
        <w:t>7.</w:t>
      </w:r>
      <w:r>
        <w:rPr>
          <w:b/>
          <w:bCs/>
          <w:color w:val="auto"/>
        </w:rPr>
        <w:t>社会稳定组成员及职责</w:t>
      </w:r>
    </w:p>
    <w:p w14:paraId="697FF9FF">
      <w:pPr>
        <w:pStyle w:val="7"/>
        <w:bidi w:val="0"/>
        <w:rPr>
          <w:color w:val="auto"/>
        </w:rPr>
      </w:pPr>
      <w:r>
        <w:rPr>
          <w:color w:val="auto"/>
        </w:rPr>
        <w:t>社会稳定组组长由公安局副</w:t>
      </w:r>
      <w:r>
        <w:rPr>
          <w:rFonts w:hint="eastAsia"/>
          <w:color w:val="auto"/>
          <w:lang w:val="en-US" w:eastAsia="zh-CN"/>
        </w:rPr>
        <w:t>局长</w:t>
      </w:r>
      <w:r>
        <w:rPr>
          <w:color w:val="auto"/>
        </w:rPr>
        <w:t>担任。</w:t>
      </w:r>
    </w:p>
    <w:p w14:paraId="652740E9">
      <w:pPr>
        <w:pStyle w:val="7"/>
        <w:bidi w:val="0"/>
        <w:rPr>
          <w:color w:val="auto"/>
        </w:rPr>
      </w:pPr>
      <w:r>
        <w:rPr>
          <w:color w:val="auto"/>
        </w:rPr>
        <w:t>社会稳定组日常工作职责：</w:t>
      </w:r>
    </w:p>
    <w:p w14:paraId="68394C36">
      <w:pPr>
        <w:pStyle w:val="7"/>
        <w:bidi w:val="0"/>
        <w:rPr>
          <w:color w:val="auto"/>
        </w:rPr>
      </w:pPr>
      <w:r>
        <w:rPr>
          <w:color w:val="auto"/>
        </w:rPr>
        <w:t>（1）参与相关应急培训与演练，熟悉应急救援工作；</w:t>
      </w:r>
    </w:p>
    <w:p w14:paraId="0DA87AC4">
      <w:pPr>
        <w:pStyle w:val="7"/>
        <w:bidi w:val="0"/>
        <w:rPr>
          <w:color w:val="auto"/>
        </w:rPr>
      </w:pPr>
      <w:r>
        <w:rPr>
          <w:color w:val="auto"/>
        </w:rPr>
        <w:t>（2）熟悉</w:t>
      </w:r>
      <w:r>
        <w:rPr>
          <w:rFonts w:hint="eastAsia"/>
          <w:color w:val="auto"/>
        </w:rPr>
        <w:t>额尔古纳市</w:t>
      </w:r>
      <w:r>
        <w:rPr>
          <w:color w:val="auto"/>
        </w:rPr>
        <w:t>境内安置点和疏散路线。</w:t>
      </w:r>
    </w:p>
    <w:p w14:paraId="129E0EF5">
      <w:pPr>
        <w:pStyle w:val="7"/>
        <w:bidi w:val="0"/>
        <w:rPr>
          <w:color w:val="auto"/>
        </w:rPr>
      </w:pPr>
      <w:r>
        <w:rPr>
          <w:color w:val="auto"/>
        </w:rPr>
        <w:t>社会稳定组应急工作职责：</w:t>
      </w:r>
    </w:p>
    <w:p w14:paraId="5D06D192">
      <w:pPr>
        <w:pStyle w:val="7"/>
        <w:bidi w:val="0"/>
        <w:rPr>
          <w:color w:val="auto"/>
        </w:rPr>
      </w:pPr>
      <w:r>
        <w:rPr>
          <w:color w:val="auto"/>
        </w:rPr>
        <w:t>（1）负责应急响应时的治安、保卫、交通管制和其它措施的落实；实施交通管制和交通疏导，保障救援道路畅通，保护现场，维护现场秩序；</w:t>
      </w:r>
    </w:p>
    <w:p w14:paraId="64C4ED1F">
      <w:pPr>
        <w:pStyle w:val="7"/>
        <w:bidi w:val="0"/>
        <w:rPr>
          <w:color w:val="auto"/>
        </w:rPr>
      </w:pPr>
      <w:r>
        <w:rPr>
          <w:color w:val="auto"/>
        </w:rPr>
        <w:t>（2）加强转移人员安置点、救灾物资存放点等重点地区的治安管控；</w:t>
      </w:r>
    </w:p>
    <w:p w14:paraId="3D94EC38">
      <w:pPr>
        <w:pStyle w:val="7"/>
        <w:bidi w:val="0"/>
        <w:rPr>
          <w:color w:val="auto"/>
        </w:rPr>
      </w:pPr>
      <w:r>
        <w:rPr>
          <w:color w:val="auto"/>
        </w:rPr>
        <w:t>（3）负责受影响地区社会治安的管理，严厉打击借机传播谣言制造社会恐慌、哄抢物资等违法犯罪行为；加强对重要生活必需品等商品的市场监管和调控，打击囤积居奇行为。</w:t>
      </w:r>
    </w:p>
    <w:p w14:paraId="05BCDA5B">
      <w:pPr>
        <w:pStyle w:val="7"/>
        <w:bidi w:val="0"/>
        <w:rPr>
          <w:color w:val="auto"/>
        </w:rPr>
      </w:pPr>
      <w:r>
        <w:rPr>
          <w:color w:val="auto"/>
        </w:rPr>
        <w:t>（4）负责事发地周边安全警戒，组织突发环境事件发生区域的人员疏散和撤离工作；</w:t>
      </w:r>
    </w:p>
    <w:p w14:paraId="65F4C1C4">
      <w:pPr>
        <w:pStyle w:val="7"/>
        <w:bidi w:val="0"/>
        <w:rPr>
          <w:color w:val="auto"/>
        </w:rPr>
      </w:pPr>
      <w:r>
        <w:rPr>
          <w:color w:val="auto"/>
        </w:rPr>
        <w:t>（5）做好受影响人员与涉事单位、乡镇政府（街道办事处）及有关部门矛盾纠纷化解和法律服务工作，防止出现群体性事件，维护社会稳定，对发生的群体性事件，组织专业力量稳妥处置。</w:t>
      </w:r>
    </w:p>
    <w:p w14:paraId="756C8695">
      <w:pPr>
        <w:pStyle w:val="7"/>
        <w:bidi w:val="0"/>
        <w:rPr>
          <w:color w:val="auto"/>
        </w:rPr>
      </w:pPr>
      <w:r>
        <w:rPr>
          <w:rFonts w:hint="eastAsia"/>
          <w:b/>
          <w:bCs/>
          <w:color w:val="auto"/>
          <w:lang w:val="en-US" w:eastAsia="zh-CN"/>
        </w:rPr>
        <w:t>8.</w:t>
      </w:r>
      <w:r>
        <w:rPr>
          <w:b/>
          <w:bCs/>
          <w:color w:val="auto"/>
        </w:rPr>
        <w:t>舆情组成员及职责</w:t>
      </w:r>
    </w:p>
    <w:p w14:paraId="5B8A4FA8">
      <w:pPr>
        <w:pStyle w:val="7"/>
        <w:bidi w:val="0"/>
        <w:rPr>
          <w:rFonts w:hint="eastAsia" w:eastAsia="仿宋"/>
          <w:color w:val="auto"/>
          <w:lang w:eastAsia="zh-CN"/>
        </w:rPr>
      </w:pPr>
      <w:r>
        <w:rPr>
          <w:rFonts w:hint="eastAsia"/>
          <w:color w:val="auto"/>
        </w:rPr>
        <w:t>额尔古纳市</w:t>
      </w:r>
      <w:r>
        <w:rPr>
          <w:color w:val="auto"/>
        </w:rPr>
        <w:t>突发环境事件应急救援舆情组组长由</w:t>
      </w:r>
      <w:r>
        <w:rPr>
          <w:rFonts w:hint="eastAsia"/>
          <w:color w:val="auto"/>
        </w:rPr>
        <w:t>市委宣传部常务副职</w:t>
      </w:r>
      <w:r>
        <w:rPr>
          <w:color w:val="auto"/>
        </w:rPr>
        <w:t>担任</w:t>
      </w:r>
      <w:r>
        <w:rPr>
          <w:rFonts w:hint="eastAsia"/>
          <w:color w:val="auto"/>
        </w:rPr>
        <w:t>，副组长</w:t>
      </w:r>
      <w:r>
        <w:rPr>
          <w:color w:val="auto"/>
        </w:rPr>
        <w:t>由</w:t>
      </w:r>
      <w:r>
        <w:rPr>
          <w:rFonts w:hint="eastAsia"/>
          <w:color w:val="auto"/>
        </w:rPr>
        <w:t>融媒体中心</w:t>
      </w:r>
      <w:r>
        <w:rPr>
          <w:rFonts w:hint="eastAsia"/>
          <w:color w:val="auto"/>
          <w:lang w:val="en-US" w:eastAsia="zh-CN"/>
        </w:rPr>
        <w:t>主任</w:t>
      </w:r>
      <w:r>
        <w:rPr>
          <w:color w:val="auto"/>
        </w:rPr>
        <w:t>担任</w:t>
      </w:r>
      <w:r>
        <w:rPr>
          <w:rFonts w:hint="eastAsia"/>
          <w:color w:val="auto"/>
          <w:lang w:eastAsia="zh-CN"/>
        </w:rPr>
        <w:t>。</w:t>
      </w:r>
    </w:p>
    <w:p w14:paraId="7A62018B">
      <w:pPr>
        <w:pStyle w:val="7"/>
        <w:bidi w:val="0"/>
        <w:rPr>
          <w:color w:val="auto"/>
        </w:rPr>
      </w:pPr>
      <w:r>
        <w:rPr>
          <w:color w:val="auto"/>
        </w:rPr>
        <w:t>舆情组日常工作职责：</w:t>
      </w:r>
    </w:p>
    <w:p w14:paraId="00404FEB">
      <w:pPr>
        <w:pStyle w:val="7"/>
        <w:bidi w:val="0"/>
        <w:rPr>
          <w:color w:val="auto"/>
        </w:rPr>
      </w:pPr>
      <w:r>
        <w:rPr>
          <w:color w:val="auto"/>
        </w:rPr>
        <w:t>（1）负责相关物资的准备及其维护等管理工作；</w:t>
      </w:r>
    </w:p>
    <w:p w14:paraId="037C5A37">
      <w:pPr>
        <w:pStyle w:val="7"/>
        <w:bidi w:val="0"/>
        <w:rPr>
          <w:color w:val="auto"/>
        </w:rPr>
      </w:pPr>
      <w:r>
        <w:rPr>
          <w:color w:val="auto"/>
        </w:rPr>
        <w:t>（2）参与相关培训及演练，熟悉应急工作。</w:t>
      </w:r>
    </w:p>
    <w:p w14:paraId="79CB54E3">
      <w:pPr>
        <w:pStyle w:val="7"/>
        <w:bidi w:val="0"/>
        <w:rPr>
          <w:color w:val="auto"/>
        </w:rPr>
      </w:pPr>
      <w:r>
        <w:rPr>
          <w:color w:val="auto"/>
        </w:rPr>
        <w:t>舆情组应急工作职责：</w:t>
      </w:r>
    </w:p>
    <w:p w14:paraId="5EC11281">
      <w:pPr>
        <w:pStyle w:val="7"/>
        <w:bidi w:val="0"/>
        <w:rPr>
          <w:color w:val="auto"/>
        </w:rPr>
      </w:pPr>
      <w:r>
        <w:rPr>
          <w:color w:val="auto"/>
        </w:rPr>
        <w:t>（1）组织开展事件进展、应急工作情况等权威信息发布，加强宣传报道；</w:t>
      </w:r>
    </w:p>
    <w:p w14:paraId="6934FAFE">
      <w:pPr>
        <w:pStyle w:val="7"/>
        <w:bidi w:val="0"/>
        <w:rPr>
          <w:color w:val="auto"/>
        </w:rPr>
      </w:pPr>
      <w:r>
        <w:rPr>
          <w:color w:val="auto"/>
        </w:rPr>
        <w:t>（2）收集分析各界舆情和社会公共动态，加强媒体、电信和互联网管理，正确引导舆论；</w:t>
      </w:r>
    </w:p>
    <w:p w14:paraId="308159F8">
      <w:pPr>
        <w:pStyle w:val="7"/>
        <w:bidi w:val="0"/>
        <w:rPr>
          <w:color w:val="auto"/>
        </w:rPr>
      </w:pPr>
      <w:r>
        <w:rPr>
          <w:color w:val="auto"/>
        </w:rPr>
        <w:t>（3）通过多种方式，通俗、权威、全面、前瞻地做好相关知识普及；</w:t>
      </w:r>
    </w:p>
    <w:p w14:paraId="07A0E110">
      <w:pPr>
        <w:pStyle w:val="7"/>
        <w:bidi w:val="0"/>
        <w:rPr>
          <w:color w:val="auto"/>
        </w:rPr>
      </w:pPr>
      <w:r>
        <w:rPr>
          <w:color w:val="auto"/>
        </w:rPr>
        <w:t>（4）及时澄清不实信息，回应社会关切。</w:t>
      </w:r>
    </w:p>
    <w:p w14:paraId="2175CA33">
      <w:pPr>
        <w:pStyle w:val="5"/>
        <w:bidi w:val="0"/>
        <w:rPr>
          <w:color w:val="auto"/>
        </w:rPr>
      </w:pPr>
      <w:bookmarkStart w:id="121" w:name="_Toc89548186"/>
      <w:bookmarkStart w:id="122" w:name="_Toc674568082"/>
      <w:bookmarkStart w:id="123" w:name="_Toc89469685"/>
      <w:bookmarkStart w:id="124" w:name="_Toc29048"/>
      <w:r>
        <w:rPr>
          <w:color w:val="auto"/>
        </w:rPr>
        <w:t>外部应急救援组织</w:t>
      </w:r>
      <w:bookmarkEnd w:id="121"/>
      <w:bookmarkEnd w:id="122"/>
      <w:bookmarkEnd w:id="123"/>
      <w:bookmarkEnd w:id="124"/>
    </w:p>
    <w:p w14:paraId="5C6E513E">
      <w:pPr>
        <w:adjustRightInd w:val="0"/>
        <w:snapToGrid w:val="0"/>
        <w:spacing w:line="360" w:lineRule="auto"/>
        <w:ind w:left="0" w:firstLine="560" w:firstLineChars="200"/>
        <w:rPr>
          <w:rFonts w:eastAsia="仿宋"/>
          <w:b/>
          <w:color w:val="auto"/>
          <w:sz w:val="24"/>
          <w:szCs w:val="24"/>
        </w:rPr>
      </w:pPr>
      <w:r>
        <w:rPr>
          <w:rFonts w:eastAsia="仿宋"/>
          <w:color w:val="auto"/>
          <w:sz w:val="28"/>
          <w:szCs w:val="28"/>
        </w:rPr>
        <w:t>突发环境事件超出</w:t>
      </w:r>
      <w:r>
        <w:rPr>
          <w:rFonts w:hint="eastAsia" w:eastAsia="仿宋"/>
          <w:color w:val="auto"/>
          <w:sz w:val="28"/>
          <w:szCs w:val="28"/>
        </w:rPr>
        <w:t>额尔古纳市</w:t>
      </w:r>
      <w:r>
        <w:rPr>
          <w:rFonts w:eastAsia="仿宋"/>
          <w:color w:val="auto"/>
          <w:sz w:val="28"/>
          <w:szCs w:val="28"/>
        </w:rPr>
        <w:t>应急处置能力时，需要及时求助外部应急力量。由应急办公室负责联系外部应急救援组织，包括呼伦贝尔市人民政府应急办公室、呼伦贝尔市生态环境局、呼伦贝尔市应急管理局、呼伦贝尔市交通局及呼伦贝尔市公安部门等。此外，当发生跨区域突发环境事件时还应及时告知周边。</w:t>
      </w:r>
    </w:p>
    <w:p w14:paraId="2A4EAF13">
      <w:pPr>
        <w:pStyle w:val="5"/>
        <w:bidi w:val="0"/>
        <w:rPr>
          <w:color w:val="auto"/>
        </w:rPr>
      </w:pPr>
      <w:bookmarkStart w:id="125" w:name="_Toc899581661"/>
      <w:bookmarkStart w:id="126" w:name="_Toc89469686"/>
      <w:bookmarkStart w:id="127" w:name="_Toc89548187"/>
      <w:bookmarkStart w:id="128" w:name="_Toc4305"/>
      <w:r>
        <w:rPr>
          <w:color w:val="auto"/>
        </w:rPr>
        <w:t>上级政府主导应急处置后的指挥与协调</w:t>
      </w:r>
      <w:bookmarkEnd w:id="125"/>
      <w:bookmarkEnd w:id="126"/>
      <w:bookmarkEnd w:id="127"/>
      <w:bookmarkEnd w:id="128"/>
    </w:p>
    <w:p w14:paraId="0D0A0796">
      <w:pPr>
        <w:pStyle w:val="7"/>
        <w:bidi w:val="0"/>
        <w:rPr>
          <w:color w:val="auto"/>
        </w:rPr>
      </w:pPr>
      <w:r>
        <w:rPr>
          <w:color w:val="auto"/>
        </w:rPr>
        <w:t>由呼伦贝尔市人民政府环境应急指挥部等上级政府部门介入或主导</w:t>
      </w:r>
      <w:r>
        <w:rPr>
          <w:rFonts w:hint="eastAsia"/>
          <w:color w:val="auto"/>
        </w:rPr>
        <w:t>额尔古纳市</w:t>
      </w:r>
      <w:r>
        <w:rPr>
          <w:color w:val="auto"/>
        </w:rPr>
        <w:t>突发环境事件的应急处置工作时，</w:t>
      </w:r>
      <w:r>
        <w:rPr>
          <w:rFonts w:hint="eastAsia"/>
          <w:color w:val="auto"/>
        </w:rPr>
        <w:t>额尔古纳市</w:t>
      </w:r>
      <w:r>
        <w:rPr>
          <w:color w:val="auto"/>
        </w:rPr>
        <w:t>突发环境事件应急救援组织机构成员不变，职责由负责应急处置转变为服从指挥，配合上级部门开展事故的应急处置工作。</w:t>
      </w:r>
    </w:p>
    <w:p w14:paraId="1901BD44">
      <w:pPr>
        <w:adjustRightInd w:val="0"/>
        <w:snapToGrid w:val="0"/>
        <w:spacing w:line="360" w:lineRule="auto"/>
        <w:ind w:left="0"/>
        <w:rPr>
          <w:rFonts w:eastAsia="仿宋"/>
          <w:color w:val="auto"/>
          <w:sz w:val="28"/>
          <w:szCs w:val="28"/>
        </w:rPr>
        <w:sectPr>
          <w:footerReference r:id="rId11" w:type="default"/>
          <w:footnotePr>
            <w:numFmt w:val="decimalHalfWidth"/>
          </w:footnotePr>
          <w:endnotePr>
            <w:numFmt w:val="chineseCounting"/>
          </w:endnotePr>
          <w:pgSz w:w="11905" w:h="16837"/>
          <w:pgMar w:top="1440" w:right="1797" w:bottom="1440" w:left="1797" w:header="709" w:footer="850" w:gutter="0"/>
          <w:pgBorders>
            <w:top w:val="none" w:sz="0" w:space="0"/>
            <w:left w:val="none" w:sz="0" w:space="0"/>
            <w:bottom w:val="none" w:sz="0" w:space="0"/>
            <w:right w:val="none" w:sz="0" w:space="0"/>
          </w:pgBorders>
          <w:pgNumType w:fmt="decimal" w:start="1"/>
          <w:cols w:space="720" w:num="1"/>
          <w:docGrid w:linePitch="272" w:charSpace="0"/>
        </w:sectPr>
      </w:pPr>
    </w:p>
    <w:p w14:paraId="106C3421">
      <w:pPr>
        <w:pStyle w:val="4"/>
        <w:bidi w:val="0"/>
        <w:rPr>
          <w:color w:val="auto"/>
        </w:rPr>
      </w:pPr>
      <w:bookmarkStart w:id="129" w:name="_Toc984101547"/>
      <w:bookmarkStart w:id="130" w:name="_Toc24740"/>
      <w:bookmarkStart w:id="131" w:name="_Toc89548188"/>
      <w:bookmarkStart w:id="132" w:name="_Toc398733582"/>
      <w:bookmarkStart w:id="133" w:name="_Toc89469687"/>
      <w:r>
        <w:rPr>
          <w:color w:val="auto"/>
        </w:rPr>
        <w:t>预防与预警</w:t>
      </w:r>
      <w:bookmarkEnd w:id="129"/>
      <w:bookmarkEnd w:id="130"/>
      <w:bookmarkEnd w:id="131"/>
      <w:bookmarkEnd w:id="132"/>
      <w:bookmarkEnd w:id="133"/>
    </w:p>
    <w:bookmarkEnd w:id="68"/>
    <w:p w14:paraId="4618690C">
      <w:pPr>
        <w:pStyle w:val="5"/>
        <w:bidi w:val="0"/>
        <w:rPr>
          <w:color w:val="auto"/>
        </w:rPr>
      </w:pPr>
      <w:bookmarkStart w:id="134" w:name="_Toc2023134882"/>
      <w:bookmarkStart w:id="135" w:name="_Toc89548189"/>
      <w:bookmarkStart w:id="136" w:name="_Toc89469688"/>
      <w:bookmarkStart w:id="137" w:name="_Toc17093"/>
      <w:r>
        <w:rPr>
          <w:color w:val="auto"/>
        </w:rPr>
        <w:t>环境风险预防</w:t>
      </w:r>
      <w:bookmarkEnd w:id="134"/>
      <w:bookmarkEnd w:id="135"/>
      <w:bookmarkEnd w:id="136"/>
      <w:bookmarkEnd w:id="137"/>
    </w:p>
    <w:p w14:paraId="3E2787A4">
      <w:pPr>
        <w:pStyle w:val="6"/>
        <w:bidi w:val="0"/>
        <w:rPr>
          <w:color w:val="auto"/>
        </w:rPr>
      </w:pPr>
      <w:bookmarkStart w:id="138" w:name="_Toc22022"/>
      <w:bookmarkStart w:id="139" w:name="_Toc89548190"/>
      <w:bookmarkStart w:id="140" w:name="_Toc89469689"/>
      <w:bookmarkStart w:id="141" w:name="_Toc1719378823"/>
      <w:r>
        <w:rPr>
          <w:color w:val="auto"/>
        </w:rPr>
        <w:t>开展污染源调查</w:t>
      </w:r>
      <w:bookmarkEnd w:id="138"/>
      <w:bookmarkEnd w:id="139"/>
      <w:bookmarkEnd w:id="140"/>
      <w:bookmarkEnd w:id="141"/>
    </w:p>
    <w:p w14:paraId="70954065">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突发环境事件应急救援办公室负责组织呼伦贝尔市生态环境局</w:t>
      </w:r>
      <w:r>
        <w:rPr>
          <w:rFonts w:hint="eastAsia" w:eastAsia="仿宋"/>
          <w:color w:val="auto"/>
          <w:sz w:val="28"/>
          <w:szCs w:val="28"/>
        </w:rPr>
        <w:t>额尔古纳市分局</w:t>
      </w:r>
      <w:r>
        <w:rPr>
          <w:rFonts w:eastAsia="仿宋"/>
          <w:color w:val="auto"/>
          <w:sz w:val="28"/>
          <w:szCs w:val="28"/>
        </w:rPr>
        <w:t>、</w:t>
      </w:r>
      <w:r>
        <w:rPr>
          <w:rFonts w:hint="eastAsia" w:eastAsia="仿宋"/>
          <w:color w:val="auto"/>
          <w:sz w:val="28"/>
          <w:szCs w:val="28"/>
        </w:rPr>
        <w:t>额尔古纳市</w:t>
      </w:r>
      <w:r>
        <w:rPr>
          <w:rFonts w:eastAsia="仿宋"/>
          <w:color w:val="auto"/>
          <w:sz w:val="28"/>
          <w:szCs w:val="28"/>
        </w:rPr>
        <w:t>应急管理局、</w:t>
      </w:r>
      <w:r>
        <w:rPr>
          <w:rFonts w:hint="eastAsia" w:eastAsia="仿宋"/>
          <w:color w:val="auto"/>
          <w:sz w:val="28"/>
          <w:szCs w:val="28"/>
        </w:rPr>
        <w:t>额尔古纳市</w:t>
      </w:r>
      <w:r>
        <w:rPr>
          <w:rFonts w:eastAsia="仿宋"/>
          <w:color w:val="auto"/>
          <w:sz w:val="28"/>
          <w:szCs w:val="28"/>
        </w:rPr>
        <w:t>公安局等部门对</w:t>
      </w:r>
      <w:r>
        <w:rPr>
          <w:rFonts w:hint="eastAsia" w:eastAsia="仿宋"/>
          <w:color w:val="auto"/>
          <w:sz w:val="28"/>
          <w:szCs w:val="28"/>
        </w:rPr>
        <w:t>额尔古纳市</w:t>
      </w:r>
      <w:r>
        <w:rPr>
          <w:rFonts w:eastAsia="仿宋"/>
          <w:color w:val="auto"/>
          <w:sz w:val="28"/>
          <w:szCs w:val="28"/>
        </w:rPr>
        <w:t>境内各类别企业存在环境污染风险的污染源开展调查工作，对企业在生产、贮存、运输、处置环节涉及危险化学品的情况进行登记备案，掌握全市存在环境污染风险的污染源和危险化学品，强化日常风险管理。</w:t>
      </w:r>
    </w:p>
    <w:p w14:paraId="686EE9E8">
      <w:pPr>
        <w:pStyle w:val="6"/>
        <w:bidi w:val="0"/>
        <w:rPr>
          <w:color w:val="auto"/>
        </w:rPr>
      </w:pPr>
      <w:bookmarkStart w:id="142" w:name="_Toc1059924129"/>
      <w:bookmarkStart w:id="143" w:name="_Toc9219"/>
      <w:bookmarkStart w:id="144" w:name="_Toc89469690"/>
      <w:bookmarkStart w:id="145" w:name="_Toc89548191"/>
      <w:r>
        <w:rPr>
          <w:color w:val="auto"/>
        </w:rPr>
        <w:t>环境风险源管理</w:t>
      </w:r>
      <w:bookmarkEnd w:id="142"/>
      <w:bookmarkEnd w:id="143"/>
      <w:bookmarkEnd w:id="144"/>
      <w:bookmarkEnd w:id="145"/>
    </w:p>
    <w:p w14:paraId="5D5891C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基于污染源调查结果，建立健全环境风险源档案。筛选对环境构成主要危害的重点污染源。</w:t>
      </w:r>
    </w:p>
    <w:p w14:paraId="6A246A2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（1）按照环境风险等级对境内环境风险源进行必要的预防性监督检查，及时发现环境风险隐患，提出整改意见，督促其限期整改。</w:t>
      </w:r>
    </w:p>
    <w:p w14:paraId="22F573B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（2）加强日常环境监测，并对可能导致突发环境事件的风险信息加强收集、分析和研判。</w:t>
      </w:r>
    </w:p>
    <w:p w14:paraId="00480DD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（3）督促境内企业按照环境风险等级对污染源进行必要的预防性监测，为环境风险源的日常监督与评估提供环境监测数据。</w:t>
      </w:r>
    </w:p>
    <w:p w14:paraId="23519EF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（4）对本市各企业的重点排污口和有毒有害气体进行动态监测，对突发环境事件进行监视和预警。对集中居民区、江河流域沿岸及水源地上游污染事故隐患企业提出响应的监管对策和意见。</w:t>
      </w:r>
    </w:p>
    <w:p w14:paraId="106135AE">
      <w:pPr>
        <w:pStyle w:val="6"/>
        <w:bidi w:val="0"/>
        <w:rPr>
          <w:color w:val="auto"/>
        </w:rPr>
      </w:pPr>
      <w:bookmarkStart w:id="146" w:name="_Toc89548192"/>
      <w:bookmarkStart w:id="147" w:name="_Toc767984238"/>
      <w:bookmarkStart w:id="148" w:name="_Toc17598"/>
      <w:bookmarkStart w:id="149" w:name="_Toc89469691"/>
      <w:r>
        <w:rPr>
          <w:color w:val="auto"/>
        </w:rPr>
        <w:t>加强环境事件风险评价和信息库建设</w:t>
      </w:r>
      <w:bookmarkEnd w:id="146"/>
      <w:bookmarkEnd w:id="147"/>
      <w:bookmarkEnd w:id="148"/>
      <w:bookmarkEnd w:id="149"/>
    </w:p>
    <w:p w14:paraId="41CDFA8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于生产、贮存、经营、使用、运输危险物品的企业事业单位，产生、收集、贮存、运输、利用、处置危险废物的企业事业单位，涉重重金属企业以及其他可能发生突发环境事件的企业事业单位，由呼伦贝尔市生态环境局</w:t>
      </w:r>
      <w:r>
        <w:rPr>
          <w:rFonts w:hint="eastAsia" w:eastAsia="仿宋"/>
          <w:color w:val="auto"/>
          <w:sz w:val="28"/>
          <w:szCs w:val="28"/>
        </w:rPr>
        <w:t>额尔古纳市分局</w:t>
      </w:r>
      <w:r>
        <w:rPr>
          <w:rFonts w:eastAsia="仿宋"/>
          <w:color w:val="auto"/>
          <w:sz w:val="28"/>
          <w:szCs w:val="28"/>
        </w:rPr>
        <w:t>牵头督促企业编制环境应急预案。对于工程建设、影视拍摄和文化体育等群体性活动有可能造成突发环境事件的，督促主办单位编制临时环境应急预案。企业事业单位的环境应急预案包括综合环境应急预案、专项环境应急预案和现场处置预案。</w:t>
      </w:r>
    </w:p>
    <w:p w14:paraId="741B2AE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环境风险种类较多、可能发生多种类型突发事件的，企业事业单位应当编制综合环境应急预案。综合环境应急预案应当包括本单位的应急组织机构及其职责、预案体系及响应程序、事件预防及应急保障、应急培训及预案演练等内容。对某一种类的环境风险，企业事业单位应当根据存在的重大危险源和可能发生的突发事件类型，编制相应的专项环境应急预案。专项环境应急预案应当包括危险性分析、可能发生的事件特征、主要污染物种类、应急组织机构与职责、预防措施、应急处置程序和应急保障等内容。</w:t>
      </w:r>
    </w:p>
    <w:p w14:paraId="311B1AE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危险性较大的重点岗位，企业事业单位应当编制重点工作岗位的现场处置预案。现场处置预案应当包括危险性分析、可能发生的事件特征、应急处置程序、应急处置要点和注意事项等内容。企业事业单位编制的综合环境应急预案、专项环境应急预案和现场处置预案之间应当相互协调，并与所涉及的其他应急预案相互衔接。</w:t>
      </w:r>
    </w:p>
    <w:p w14:paraId="653D3E0B">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所有应当编制环境应急预案的企事业单位应逐步实现环境应急工作的信息化管理，具体包括环境应急组织体系建设、环境应急预案管理和环境应急物资管理，实现与呼伦贝尔市生态环境局</w:t>
      </w:r>
      <w:r>
        <w:rPr>
          <w:rFonts w:hint="eastAsia" w:eastAsia="仿宋"/>
          <w:color w:val="auto"/>
          <w:sz w:val="28"/>
          <w:szCs w:val="28"/>
        </w:rPr>
        <w:t>额尔古纳市分局</w:t>
      </w:r>
      <w:r>
        <w:rPr>
          <w:rFonts w:eastAsia="仿宋"/>
          <w:color w:val="auto"/>
          <w:sz w:val="28"/>
          <w:szCs w:val="28"/>
        </w:rPr>
        <w:t>的对接。另外，市应急救援组织机构应积极筹措资金，委托专业机构，建立健全</w:t>
      </w:r>
      <w:r>
        <w:rPr>
          <w:rFonts w:hint="eastAsia" w:eastAsia="仿宋"/>
          <w:color w:val="auto"/>
          <w:sz w:val="28"/>
          <w:szCs w:val="28"/>
        </w:rPr>
        <w:t>额尔古纳市</w:t>
      </w:r>
      <w:r>
        <w:rPr>
          <w:rFonts w:eastAsia="仿宋"/>
          <w:color w:val="auto"/>
          <w:sz w:val="28"/>
          <w:szCs w:val="28"/>
        </w:rPr>
        <w:t>突发环境事件应急预案评估咨询支持系统，化学品特性和污染物应急救援数据信息库，为应急指挥和决策提供信息保障。</w:t>
      </w:r>
    </w:p>
    <w:p w14:paraId="334E3E8D">
      <w:pPr>
        <w:pStyle w:val="6"/>
        <w:bidi w:val="0"/>
        <w:rPr>
          <w:color w:val="auto"/>
        </w:rPr>
      </w:pPr>
      <w:bookmarkStart w:id="150" w:name="_Toc89548193"/>
      <w:bookmarkStart w:id="151" w:name="_Toc89469692"/>
      <w:bookmarkStart w:id="152" w:name="_Toc1134369596"/>
      <w:bookmarkStart w:id="153" w:name="_Toc7338"/>
      <w:r>
        <w:rPr>
          <w:color w:val="auto"/>
        </w:rPr>
        <w:t>加强环境应急预警的科研开发工作</w:t>
      </w:r>
      <w:bookmarkEnd w:id="150"/>
      <w:bookmarkEnd w:id="151"/>
      <w:bookmarkEnd w:id="152"/>
      <w:bookmarkEnd w:id="153"/>
    </w:p>
    <w:p w14:paraId="5BB148D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涉及环境应急工作部门、企事业单位应加大环境应急预警科研工作的投入，加强环境应急预警领域的科研开发工作。建立健全突发环境事件应急监测、预测、预警系统，加强风险分析和动态监测、预测，收集境内和</w:t>
      </w:r>
      <w:r>
        <w:rPr>
          <w:rFonts w:hint="eastAsia" w:eastAsia="仿宋"/>
          <w:color w:val="auto"/>
          <w:sz w:val="28"/>
          <w:szCs w:val="28"/>
        </w:rPr>
        <w:t>额尔古纳市</w:t>
      </w:r>
      <w:r>
        <w:rPr>
          <w:rFonts w:eastAsia="仿宋"/>
          <w:color w:val="auto"/>
          <w:sz w:val="28"/>
          <w:szCs w:val="28"/>
        </w:rPr>
        <w:t>以外对本区域可能造成重大影响的环境突发公共事件信息，学习借鉴外地先进经验，不断完善突发环境事件的预测预警系统，做到早发现、早报告、早处置。</w:t>
      </w:r>
    </w:p>
    <w:p w14:paraId="137C9902">
      <w:pPr>
        <w:pStyle w:val="5"/>
        <w:bidi w:val="0"/>
        <w:rPr>
          <w:color w:val="auto"/>
        </w:rPr>
      </w:pPr>
      <w:bookmarkStart w:id="154" w:name="_Toc398733585"/>
      <w:bookmarkStart w:id="155" w:name="_Toc2137465553"/>
      <w:bookmarkStart w:id="156" w:name="_Toc89469693"/>
      <w:bookmarkStart w:id="157" w:name="_Toc6142"/>
      <w:bookmarkStart w:id="158" w:name="_Toc89548194"/>
      <w:r>
        <w:rPr>
          <w:color w:val="auto"/>
        </w:rPr>
        <w:t>预警</w:t>
      </w:r>
      <w:bookmarkEnd w:id="154"/>
      <w:r>
        <w:rPr>
          <w:color w:val="auto"/>
        </w:rPr>
        <w:t>分级与准备</w:t>
      </w:r>
      <w:bookmarkEnd w:id="155"/>
      <w:bookmarkEnd w:id="156"/>
      <w:bookmarkEnd w:id="157"/>
      <w:bookmarkEnd w:id="158"/>
    </w:p>
    <w:p w14:paraId="5974DF7A">
      <w:pPr>
        <w:pStyle w:val="6"/>
        <w:bidi w:val="0"/>
        <w:rPr>
          <w:color w:val="auto"/>
        </w:rPr>
      </w:pPr>
      <w:bookmarkStart w:id="159" w:name="_Toc89548195"/>
      <w:bookmarkStart w:id="160" w:name="_Toc89469694"/>
      <w:bookmarkStart w:id="161" w:name="_Toc18540"/>
      <w:bookmarkStart w:id="162" w:name="_Toc1277102255"/>
      <w:r>
        <w:rPr>
          <w:color w:val="auto"/>
        </w:rPr>
        <w:t>预警分级</w:t>
      </w:r>
      <w:bookmarkEnd w:id="159"/>
      <w:bookmarkEnd w:id="160"/>
      <w:bookmarkEnd w:id="161"/>
      <w:bookmarkEnd w:id="162"/>
    </w:p>
    <w:p w14:paraId="3D7C97A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根据《国务院办公厅关于印发国家突发环境事件应急预案的通知》国办函[2014]119号文件对突发环境事件中预警分级，将预警分为四级，由低到高颜色依次分为蓝色、黄色、橙色、红色。</w:t>
      </w:r>
    </w:p>
    <w:p w14:paraId="732B586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蓝色预警：将要发生一般突发环境事件（Ⅳ级），事态可能扩大；</w:t>
      </w:r>
    </w:p>
    <w:p w14:paraId="0CECCF6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黄色预警：将要发生较大突发环境事件（Ⅲ级），事态有扩大趋势；</w:t>
      </w:r>
    </w:p>
    <w:p w14:paraId="6FA85B5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橙色预警：将要发生重大突发环境事件（Ⅱ级），事态正在逐步扩大；</w:t>
      </w:r>
    </w:p>
    <w:p w14:paraId="516C894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红色预警：将要发生特别重大突发环境事件（Ⅰ级），事态正在不断蔓延。</w:t>
      </w:r>
    </w:p>
    <w:p w14:paraId="090A6F6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根据事态的发展情况和采取措施的效果，预警颜色可以升级、降级和解除。应急指挥部收到的有关信息证明突发环境事件即将发生或者发生的可能性增大时，立即启动本应急预案。</w:t>
      </w:r>
    </w:p>
    <w:p w14:paraId="3305C2F1">
      <w:pPr>
        <w:pStyle w:val="6"/>
        <w:bidi w:val="0"/>
        <w:rPr>
          <w:color w:val="auto"/>
        </w:rPr>
      </w:pPr>
      <w:bookmarkStart w:id="163" w:name="_Toc89548196"/>
      <w:bookmarkStart w:id="164" w:name="_Toc89469695"/>
      <w:bookmarkStart w:id="165" w:name="_Toc3283"/>
      <w:bookmarkStart w:id="166" w:name="_Toc158548020"/>
      <w:r>
        <w:rPr>
          <w:color w:val="auto"/>
        </w:rPr>
        <w:t>预警准备</w:t>
      </w:r>
      <w:bookmarkEnd w:id="163"/>
      <w:bookmarkEnd w:id="164"/>
      <w:bookmarkEnd w:id="165"/>
      <w:bookmarkEnd w:id="166"/>
    </w:p>
    <w:p w14:paraId="4E1B8BB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由突发环境事件应急救援办公室结合接报的相关事件信息，迅速了解、掌握事故发生的具体地点、时间、原因、人员伤亡情况，事故涉及或影响的范围，事故发展的趋势和已采取的措施等，并迅速制定事故处理方案并组织指挥实施。</w:t>
      </w:r>
    </w:p>
    <w:p w14:paraId="6940C17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（1）通知各应急组成员参加应急会议，分析事故情况及预期发展态势，制定现场救援方案等；</w:t>
      </w:r>
    </w:p>
    <w:p w14:paraId="12509B4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（2）各应急组检查人员及应急物资、装备情况，提出不足和需要支援的项目；</w:t>
      </w:r>
    </w:p>
    <w:p w14:paraId="35AB96D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（3）辖区内相关污水处理厂报告应急事故池储存能力及可接纳的污水量；</w:t>
      </w:r>
    </w:p>
    <w:p w14:paraId="6E74B6A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（4）现场处置人员备齐防护装备、应急处置所需的设备、设施和物资等；</w:t>
      </w:r>
    </w:p>
    <w:p w14:paraId="41902F9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（5）保持与消防、防疫、公安、交警、城管、监测、卫生等专业救援部门的信息沟通，以备随时开展外援医疗救护、委托监测和应急救援等工作。</w:t>
      </w:r>
    </w:p>
    <w:p w14:paraId="05B51206">
      <w:pPr>
        <w:pStyle w:val="5"/>
        <w:bidi w:val="0"/>
        <w:rPr>
          <w:color w:val="auto"/>
        </w:rPr>
      </w:pPr>
      <w:bookmarkStart w:id="167" w:name="_Toc89469696"/>
      <w:bookmarkStart w:id="168" w:name="_Toc89548197"/>
      <w:bookmarkStart w:id="169" w:name="_Toc1836849860"/>
      <w:bookmarkStart w:id="170" w:name="_Toc18363"/>
      <w:bookmarkStart w:id="171" w:name="_Toc398733586"/>
      <w:r>
        <w:rPr>
          <w:color w:val="auto"/>
        </w:rPr>
        <w:t>预警信息报告</w:t>
      </w:r>
      <w:bookmarkEnd w:id="167"/>
      <w:bookmarkEnd w:id="168"/>
      <w:bookmarkEnd w:id="169"/>
      <w:bookmarkEnd w:id="170"/>
    </w:p>
    <w:p w14:paraId="13D4166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应急救援各成员单位须认真落实值班制度，收集可能造成重大影响的突发环境事件信息，加强风险分析和动态监测、预测，对突发环境事件做到早发现、早报告、早处置。相关乡镇、、企事业单位、社会团体和公众一旦掌握突发环境事件征兆或发生突发环境事件的情况，应迅速向</w:t>
      </w:r>
      <w:r>
        <w:rPr>
          <w:rFonts w:hint="eastAsia" w:eastAsia="仿宋"/>
          <w:color w:val="auto"/>
          <w:sz w:val="28"/>
          <w:szCs w:val="28"/>
        </w:rPr>
        <w:t>突发环境事件应急</w:t>
      </w:r>
      <w:r>
        <w:rPr>
          <w:rFonts w:eastAsia="仿宋"/>
          <w:color w:val="auto"/>
          <w:sz w:val="28"/>
          <w:szCs w:val="28"/>
        </w:rPr>
        <w:t>办公室或有关单位报告事件信息，需对报告进行登记记录，以便事后进行查阅和总结。</w:t>
      </w:r>
    </w:p>
    <w:p w14:paraId="7CE6370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对于可能或已经发生的突发环境事件，事发单位、事发地乡镇（街道）或管委会和相关部门要在立即采取措施控制事态的同时，应在第一时间如实报告应急办公室，不得迟报、漏报、瞒报和谎报。</w:t>
      </w:r>
    </w:p>
    <w:p w14:paraId="52A20E73">
      <w:pPr>
        <w:pStyle w:val="5"/>
        <w:bidi w:val="0"/>
        <w:rPr>
          <w:color w:val="auto"/>
        </w:rPr>
      </w:pPr>
      <w:bookmarkStart w:id="172" w:name="_Toc89469697"/>
      <w:bookmarkStart w:id="173" w:name="_Toc89548198"/>
      <w:bookmarkStart w:id="174" w:name="_Toc1858171395"/>
      <w:bookmarkStart w:id="175" w:name="_Toc8983"/>
      <w:r>
        <w:rPr>
          <w:color w:val="auto"/>
        </w:rPr>
        <w:t>预警信息发布</w:t>
      </w:r>
      <w:bookmarkEnd w:id="171"/>
      <w:bookmarkEnd w:id="172"/>
      <w:bookmarkEnd w:id="173"/>
      <w:bookmarkEnd w:id="174"/>
      <w:bookmarkEnd w:id="175"/>
    </w:p>
    <w:p w14:paraId="659FBC5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由</w:t>
      </w:r>
      <w:r>
        <w:rPr>
          <w:rFonts w:hint="eastAsia" w:eastAsia="仿宋"/>
          <w:color w:val="auto"/>
          <w:sz w:val="28"/>
          <w:szCs w:val="28"/>
        </w:rPr>
        <w:t>额尔古纳市</w:t>
      </w:r>
      <w:r>
        <w:rPr>
          <w:rFonts w:eastAsia="仿宋"/>
          <w:color w:val="auto"/>
          <w:sz w:val="28"/>
          <w:szCs w:val="28"/>
        </w:rPr>
        <w:t>突发环境</w:t>
      </w:r>
      <w:r>
        <w:rPr>
          <w:rFonts w:hint="eastAsia" w:eastAsia="仿宋"/>
          <w:color w:val="auto"/>
          <w:sz w:val="28"/>
          <w:szCs w:val="28"/>
        </w:rPr>
        <w:t>事件</w:t>
      </w:r>
      <w:r>
        <w:rPr>
          <w:rFonts w:eastAsia="仿宋"/>
          <w:color w:val="auto"/>
          <w:sz w:val="28"/>
          <w:szCs w:val="28"/>
        </w:rPr>
        <w:t>应急</w:t>
      </w:r>
      <w:r>
        <w:rPr>
          <w:rFonts w:hint="eastAsia" w:eastAsia="仿宋"/>
          <w:color w:val="auto"/>
          <w:sz w:val="28"/>
          <w:szCs w:val="28"/>
        </w:rPr>
        <w:t>救援</w:t>
      </w:r>
      <w:r>
        <w:rPr>
          <w:rFonts w:eastAsia="仿宋"/>
          <w:color w:val="auto"/>
          <w:sz w:val="28"/>
          <w:szCs w:val="28"/>
        </w:rPr>
        <w:t>舆情组</w:t>
      </w:r>
      <w:r>
        <w:rPr>
          <w:rFonts w:hint="eastAsia" w:eastAsia="仿宋"/>
          <w:color w:val="auto"/>
          <w:sz w:val="28"/>
          <w:szCs w:val="28"/>
        </w:rPr>
        <w:t>研判后</w:t>
      </w:r>
      <w:r>
        <w:rPr>
          <w:rFonts w:eastAsia="仿宋"/>
          <w:color w:val="auto"/>
          <w:sz w:val="28"/>
          <w:szCs w:val="28"/>
        </w:rPr>
        <w:t>指定专人负责对媒体和公众的信息发布，及时发布准确、权威的信息，正确引导社会舆论。对于较为复杂的事件，可分阶段发布，先简要发布基本事实。对于一般性事件，主动配合宣传部门；对灾害造成的直接经济损失数字的发布，应征求评估部门的意见。对影响重大的突发事件处理结果，根据需要及时发布。</w:t>
      </w:r>
    </w:p>
    <w:p w14:paraId="186B0A6D">
      <w:pPr>
        <w:pStyle w:val="5"/>
        <w:bidi w:val="0"/>
        <w:rPr>
          <w:color w:val="auto"/>
        </w:rPr>
      </w:pPr>
      <w:bookmarkStart w:id="176" w:name="_Toc398733588"/>
      <w:bookmarkStart w:id="177" w:name="_Toc89548199"/>
      <w:bookmarkStart w:id="178" w:name="_Toc1579441091"/>
      <w:bookmarkStart w:id="179" w:name="_Toc16244"/>
      <w:bookmarkStart w:id="180" w:name="_Toc89469698"/>
      <w:r>
        <w:rPr>
          <w:color w:val="auto"/>
        </w:rPr>
        <w:t>预警</w:t>
      </w:r>
      <w:bookmarkEnd w:id="176"/>
      <w:r>
        <w:rPr>
          <w:color w:val="auto"/>
        </w:rPr>
        <w:t>行动</w:t>
      </w:r>
      <w:bookmarkEnd w:id="177"/>
      <w:bookmarkEnd w:id="178"/>
      <w:bookmarkEnd w:id="179"/>
      <w:bookmarkEnd w:id="180"/>
    </w:p>
    <w:p w14:paraId="0F7580C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进入预警状态后，</w:t>
      </w:r>
      <w:r>
        <w:rPr>
          <w:rFonts w:hint="eastAsia" w:eastAsia="仿宋"/>
          <w:color w:val="auto"/>
          <w:sz w:val="28"/>
          <w:szCs w:val="28"/>
        </w:rPr>
        <w:t>额尔古纳市</w:t>
      </w:r>
      <w:r>
        <w:rPr>
          <w:rFonts w:eastAsia="仿宋"/>
          <w:color w:val="auto"/>
          <w:sz w:val="28"/>
          <w:szCs w:val="28"/>
        </w:rPr>
        <w:t>人民政府</w:t>
      </w:r>
      <w:r>
        <w:rPr>
          <w:rFonts w:hint="eastAsia" w:eastAsia="仿宋"/>
          <w:color w:val="auto"/>
          <w:sz w:val="28"/>
          <w:szCs w:val="28"/>
        </w:rPr>
        <w:t>以及</w:t>
      </w:r>
      <w:r>
        <w:rPr>
          <w:rFonts w:eastAsia="仿宋"/>
          <w:color w:val="auto"/>
          <w:sz w:val="28"/>
          <w:szCs w:val="28"/>
        </w:rPr>
        <w:t>有关部门应当采取以下措施：</w:t>
      </w:r>
    </w:p>
    <w:p w14:paraId="2C0211C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分析研判：立即启动相关应急预案，及时收集、报告有关信息，组织有关部门和机构及专家，随时对突发环境事件信息进行分析评估，确定突发环境事件发生可能性的大小、影响范围和强度以及可能发生的突发环境事件的级别。</w:t>
      </w:r>
    </w:p>
    <w:p w14:paraId="7FA198E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发布预警：《国家突发环境事件应急预案》规定蓝色预警由区县人民政府负责发布；黄色预警由市人民政府负责发布；橙色预警由省人民政府负责发布；红色预警由事件发生地省人民政府根据国务院授权负责发布。</w:t>
      </w:r>
    </w:p>
    <w:p w14:paraId="506FFE7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收集到的有关信息证明突发环境事件即将发生或者发生的可能性增大时，由</w:t>
      </w:r>
      <w:r>
        <w:rPr>
          <w:rFonts w:hint="eastAsia" w:eastAsia="仿宋"/>
          <w:color w:val="auto"/>
          <w:sz w:val="28"/>
          <w:szCs w:val="28"/>
        </w:rPr>
        <w:t>额尔古纳市</w:t>
      </w:r>
      <w:r>
        <w:rPr>
          <w:rFonts w:eastAsia="仿宋"/>
          <w:color w:val="auto"/>
          <w:sz w:val="28"/>
          <w:szCs w:val="28"/>
        </w:rPr>
        <w:t>人民政府根据有关法律、行政法规和国务院规定的权限和程序，发布相应级别的警报，决定并宣布有关地区进入预警期，同时向上一级人民政府（呼伦贝尔市人民政府）报告，必要时可以越级上报，并向当地驻军和可能受到危害的毗邻或者相关地区的人民政府通报。发布突发事件警报的人民政府应当根据事态的发展，按照有关规定适时调整预警级别并重新发布。</w:t>
      </w:r>
    </w:p>
    <w:p w14:paraId="63B4CCE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防范处置：迅速采取有效处置措施，控制事件苗头。在涉险区域设置注意事项提示或事件危害警告标志，利用各种渠道增加宣传频次，及时告知公众避险和减轻危害的常识、需采取的必要健康防护措施，转移、撤离或者疏散可能受到危害影响的人员，并进行妥善安置。</w:t>
      </w:r>
    </w:p>
    <w:p w14:paraId="2E92DA2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（4）应急准备：责令应急救援队伍、负有特定职责的人员进入待命状态，并调集应急所需物资和设备，做好应急保障工作。</w:t>
      </w:r>
    </w:p>
    <w:p w14:paraId="178411B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（5）舆论引导：及时准确发布事态最新情况，公布咨询电话，组织专家解读。加强相关舆情监测，做好舆论引导工作。</w:t>
      </w:r>
    </w:p>
    <w:p w14:paraId="0576419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发布橙色、红色预警后，在采取蓝色、黄色预警响应措施的基础上，还应当针对即将发生的突发事件的特点和可能造成的危害，采取下列一项或多项措施：</w:t>
      </w:r>
    </w:p>
    <w:p w14:paraId="49FC989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（1）对可能导致突发环境事件发生的相关企事业单位和其他生产经营者加强环境监管。</w:t>
      </w:r>
    </w:p>
    <w:p w14:paraId="305B9A1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（2）针对突发环境事件可能造成的危害，封闭、隔离或者限制使用有关场所，中止可能导致危害扩大的行为和活动。</w:t>
      </w:r>
    </w:p>
    <w:p w14:paraId="2F5E074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（3）责令各应急救援队伍进入应急状态，并动员后备人员做好参加应急救援和处置工作的准备；环境监测人员立即开展应急监测，随时掌握并报告事态进展情况。</w:t>
      </w:r>
    </w:p>
    <w:p w14:paraId="5829F4A4">
      <w:pPr>
        <w:pStyle w:val="5"/>
        <w:bidi w:val="0"/>
        <w:rPr>
          <w:color w:val="auto"/>
        </w:rPr>
      </w:pPr>
      <w:bookmarkStart w:id="181" w:name="_Toc89548200"/>
      <w:bookmarkStart w:id="182" w:name="_Toc621055870"/>
      <w:bookmarkStart w:id="183" w:name="_Toc9978"/>
      <w:bookmarkStart w:id="184" w:name="_Toc89469699"/>
      <w:r>
        <w:rPr>
          <w:color w:val="auto"/>
        </w:rPr>
        <w:t>预警级别调整和解除</w:t>
      </w:r>
      <w:bookmarkEnd w:id="181"/>
      <w:bookmarkEnd w:id="182"/>
      <w:bookmarkEnd w:id="183"/>
      <w:bookmarkEnd w:id="184"/>
    </w:p>
    <w:p w14:paraId="7A5C4C5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发布突发环境事件预警信息的人民政府或有关政府部门，应当根据事态的发展情况和所采取应急措施的效果实时调整预警级别；预警颜色可以升级、降级和解除。当判断不可能发生突发环境事件或者危险已经消除时，宣布解除预警，并适时终止相关应急措施。</w:t>
      </w:r>
    </w:p>
    <w:p w14:paraId="260EAAD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预警解除应根据事件的发展态势，由应急办公室报请应急指挥部批准后进行，终止已经采取的有关措施。预警结束后，应急办公室应根据应急指挥部有关指示和实际情况，继续进行事态跟踪，直至事态隐患完全消除为止；有关部门、单位应继续查找可能产生环境污染隐患的原因，提出预防措施，明确落实责任。</w:t>
      </w:r>
    </w:p>
    <w:p w14:paraId="29DDAE3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符合预警结束的条件如下：</w:t>
      </w:r>
    </w:p>
    <w:p w14:paraId="1B50D61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（1）事件现场得到控制，事件隐患已经消除；</w:t>
      </w:r>
    </w:p>
    <w:p w14:paraId="201B78E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（2）对污染源采取了必要的防护措施，事件不会对环境造成影响。</w:t>
      </w:r>
    </w:p>
    <w:p w14:paraId="1B22A5C4">
      <w:pPr>
        <w:pStyle w:val="5"/>
        <w:bidi w:val="0"/>
        <w:rPr>
          <w:color w:val="auto"/>
        </w:rPr>
      </w:pPr>
      <w:bookmarkStart w:id="185" w:name="_Toc8901"/>
      <w:bookmarkStart w:id="186" w:name="_Toc89548201"/>
      <w:bookmarkStart w:id="187" w:name="_Toc89469700"/>
      <w:bookmarkStart w:id="188" w:name="_Toc1315482670"/>
      <w:r>
        <w:rPr>
          <w:color w:val="auto"/>
        </w:rPr>
        <w:t>预警措施</w:t>
      </w:r>
      <w:bookmarkEnd w:id="185"/>
      <w:bookmarkEnd w:id="186"/>
      <w:bookmarkEnd w:id="187"/>
      <w:bookmarkEnd w:id="188"/>
    </w:p>
    <w:p w14:paraId="1AEF61E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进入预警状态后，应急指挥部和有关部门应采取以下措施：</w:t>
      </w:r>
    </w:p>
    <w:p w14:paraId="24E4C4A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（1）立即启动响应级别的突发环境事件应急预案；</w:t>
      </w:r>
    </w:p>
    <w:p w14:paraId="7F1054E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（2）发布预警信息；</w:t>
      </w:r>
    </w:p>
    <w:p w14:paraId="161DB21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（3）转移、撤离或疏散可能受到危害的人员，并进行妥善安置；</w:t>
      </w:r>
    </w:p>
    <w:p w14:paraId="32B3544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（4）各环境应急救援队伍进入应急状态，环境监测部门立即开展应急监测，随时掌握并报告事态进展情况；</w:t>
      </w:r>
    </w:p>
    <w:p w14:paraId="3B51AEC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（5）针对突发环境事件可能造成的危害，封闭、隔离或限制使用有关场所，终止可能导致危害扩大的行为和活动；</w:t>
      </w:r>
    </w:p>
    <w:p w14:paraId="30ED0C6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（6）调集环境应急所需物资和设备，确保应急保障行动。</w:t>
      </w:r>
    </w:p>
    <w:p w14:paraId="6464D5A7">
      <w:pPr>
        <w:pStyle w:val="5"/>
        <w:bidi w:val="0"/>
        <w:rPr>
          <w:color w:val="auto"/>
        </w:rPr>
      </w:pPr>
      <w:bookmarkStart w:id="189" w:name="_Toc973088825"/>
      <w:bookmarkStart w:id="190" w:name="_Toc89548202"/>
      <w:bookmarkStart w:id="191" w:name="_Toc89469701"/>
      <w:bookmarkStart w:id="192" w:name="_Toc8130"/>
      <w:r>
        <w:rPr>
          <w:color w:val="auto"/>
        </w:rPr>
        <w:t>预警监测</w:t>
      </w:r>
      <w:bookmarkEnd w:id="189"/>
      <w:bookmarkEnd w:id="190"/>
      <w:bookmarkEnd w:id="191"/>
      <w:bookmarkEnd w:id="192"/>
    </w:p>
    <w:p w14:paraId="2BABC22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突发环境事件应急办公室应做好预警监测技术、人员和装备等的准备工作，本着“快速反应”的原则，加强</w:t>
      </w:r>
      <w:r>
        <w:rPr>
          <w:rFonts w:hint="eastAsia" w:eastAsia="仿宋"/>
          <w:color w:val="auto"/>
          <w:sz w:val="28"/>
          <w:szCs w:val="28"/>
        </w:rPr>
        <w:t>额尔古纳市</w:t>
      </w:r>
      <w:r>
        <w:rPr>
          <w:rFonts w:eastAsia="仿宋"/>
          <w:color w:val="auto"/>
          <w:sz w:val="28"/>
          <w:szCs w:val="28"/>
        </w:rPr>
        <w:t>环境预警监测能力建设。加强与</w:t>
      </w:r>
      <w:r>
        <w:rPr>
          <w:rFonts w:hint="eastAsia" w:eastAsia="仿宋"/>
          <w:color w:val="auto"/>
          <w:sz w:val="28"/>
          <w:szCs w:val="28"/>
        </w:rPr>
        <w:t>额尔古纳市</w:t>
      </w:r>
      <w:r>
        <w:rPr>
          <w:rFonts w:hint="eastAsia" w:eastAsia="仿宋"/>
          <w:color w:val="auto"/>
          <w:sz w:val="28"/>
          <w:szCs w:val="28"/>
          <w:lang w:eastAsia="zh-Hans"/>
        </w:rPr>
        <w:t>生态</w:t>
      </w:r>
      <w:r>
        <w:rPr>
          <w:rFonts w:eastAsia="仿宋"/>
          <w:color w:val="auto"/>
          <w:sz w:val="28"/>
          <w:szCs w:val="28"/>
        </w:rPr>
        <w:t>环境监测</w:t>
      </w:r>
      <w:r>
        <w:rPr>
          <w:rFonts w:hint="eastAsia" w:eastAsia="仿宋"/>
          <w:color w:val="auto"/>
          <w:sz w:val="28"/>
          <w:szCs w:val="28"/>
        </w:rPr>
        <w:t>中心</w:t>
      </w:r>
      <w:r>
        <w:rPr>
          <w:rFonts w:eastAsia="仿宋"/>
          <w:color w:val="auto"/>
          <w:sz w:val="28"/>
          <w:szCs w:val="28"/>
        </w:rPr>
        <w:t>和内蒙古自治区环境监测总站呼伦贝尔</w:t>
      </w:r>
      <w:r>
        <w:rPr>
          <w:rFonts w:hint="eastAsia" w:eastAsia="仿宋"/>
          <w:color w:val="auto"/>
          <w:sz w:val="28"/>
          <w:szCs w:val="28"/>
        </w:rPr>
        <w:t>分</w:t>
      </w:r>
      <w:r>
        <w:rPr>
          <w:rFonts w:eastAsia="仿宋"/>
          <w:color w:val="auto"/>
          <w:sz w:val="28"/>
          <w:szCs w:val="28"/>
        </w:rPr>
        <w:t>站的联系，必要时请求第三方应急监测队伍支援。</w:t>
      </w:r>
    </w:p>
    <w:p w14:paraId="1C2100FB">
      <w:pPr>
        <w:pStyle w:val="5"/>
        <w:bidi w:val="0"/>
        <w:rPr>
          <w:color w:val="auto"/>
        </w:rPr>
      </w:pPr>
      <w:bookmarkStart w:id="193" w:name="_Toc32555"/>
      <w:bookmarkStart w:id="194" w:name="_Toc495484196"/>
      <w:bookmarkStart w:id="195" w:name="_Toc13620"/>
      <w:bookmarkStart w:id="196" w:name="_Toc1615909870"/>
      <w:bookmarkStart w:id="197" w:name="_Toc352"/>
      <w:bookmarkStart w:id="198" w:name="_Toc89469702"/>
      <w:bookmarkStart w:id="199" w:name="_Toc89548203"/>
      <w:r>
        <w:rPr>
          <w:color w:val="auto"/>
        </w:rPr>
        <w:t>报警、通讯联络方式</w:t>
      </w:r>
      <w:bookmarkEnd w:id="193"/>
      <w:bookmarkEnd w:id="194"/>
      <w:bookmarkEnd w:id="195"/>
      <w:bookmarkEnd w:id="196"/>
      <w:bookmarkEnd w:id="197"/>
      <w:bookmarkEnd w:id="198"/>
      <w:bookmarkEnd w:id="199"/>
      <w:bookmarkStart w:id="200" w:name="OLE_LINK166"/>
    </w:p>
    <w:bookmarkEnd w:id="200"/>
    <w:p w14:paraId="02EFC642">
      <w:pPr>
        <w:widowControl/>
        <w:adjustRightInd w:val="0"/>
        <w:snapToGrid w:val="0"/>
        <w:spacing w:line="360" w:lineRule="auto"/>
        <w:ind w:left="0" w:firstLine="560" w:firstLineChars="200"/>
        <w:rPr>
          <w:rFonts w:eastAsia="仿宋"/>
          <w:bCs/>
          <w:color w:val="auto"/>
          <w:sz w:val="28"/>
          <w:szCs w:val="28"/>
        </w:rPr>
        <w:sectPr>
          <w:footerReference r:id="rId12" w:type="first"/>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eastAsia="仿宋"/>
          <w:color w:val="auto"/>
          <w:sz w:val="28"/>
          <w:szCs w:val="28"/>
        </w:rPr>
        <w:t>市突发环境事件应急办公室设昼夜值班室，并配备数量充足的内线和外线电话、无线电和其它通讯设备，保证24小时有效的报警；统计应急指挥部所有人员的通讯联络方式，并确保通讯24小时畅通。</w:t>
      </w:r>
    </w:p>
    <w:p w14:paraId="21C54A63">
      <w:pPr>
        <w:pStyle w:val="4"/>
        <w:bidi w:val="0"/>
        <w:rPr>
          <w:color w:val="auto"/>
        </w:rPr>
      </w:pPr>
      <w:bookmarkStart w:id="201" w:name="_Toc398733589"/>
      <w:bookmarkStart w:id="202" w:name="_Toc1518985128"/>
      <w:bookmarkStart w:id="203" w:name="_Toc5562"/>
      <w:bookmarkStart w:id="204" w:name="_Toc89469703"/>
      <w:bookmarkStart w:id="205" w:name="_Toc89548204"/>
      <w:r>
        <w:rPr>
          <w:color w:val="auto"/>
        </w:rPr>
        <w:t>应急</w:t>
      </w:r>
      <w:bookmarkEnd w:id="201"/>
      <w:r>
        <w:rPr>
          <w:color w:val="auto"/>
        </w:rPr>
        <w:t>响应和救援措施</w:t>
      </w:r>
      <w:bookmarkEnd w:id="202"/>
      <w:bookmarkEnd w:id="203"/>
      <w:bookmarkEnd w:id="204"/>
      <w:bookmarkEnd w:id="205"/>
    </w:p>
    <w:p w14:paraId="32A2F9BC">
      <w:pPr>
        <w:pStyle w:val="5"/>
        <w:bidi w:val="0"/>
        <w:rPr>
          <w:color w:val="auto"/>
        </w:rPr>
      </w:pPr>
      <w:bookmarkStart w:id="206" w:name="_Toc89469704"/>
      <w:bookmarkStart w:id="207" w:name="_Toc297450760"/>
      <w:bookmarkStart w:id="208" w:name="_Toc9278"/>
      <w:bookmarkStart w:id="209" w:name="_Toc89548205"/>
      <w:bookmarkStart w:id="210" w:name="_Toc398733590"/>
      <w:r>
        <w:rPr>
          <w:color w:val="auto"/>
        </w:rPr>
        <w:t>应急预案启动</w:t>
      </w:r>
      <w:bookmarkEnd w:id="206"/>
      <w:bookmarkEnd w:id="207"/>
      <w:bookmarkEnd w:id="208"/>
      <w:bookmarkEnd w:id="209"/>
    </w:p>
    <w:p w14:paraId="53466EA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接警后，根据事故发生的位置及危害程度，决定启动响应级别的应急预案。在总指挥的统一指挥下，发布突发环境事件应急救援令，启动预案，各应急专业小组根据职责分工赶赴现场，采取响应的救援措施。应急预案的启动条件如下：</w:t>
      </w:r>
    </w:p>
    <w:p w14:paraId="516CD06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（1）因环境污染造成非生产人员死亡或中毒、重伤的；</w:t>
      </w:r>
    </w:p>
    <w:p w14:paraId="7AECBB9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（2）集中式饮用水水源地水质遭受严重污染，造成饮用水中断的；</w:t>
      </w:r>
    </w:p>
    <w:p w14:paraId="435B5CD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（3）因环境污染造成跨行政区域纠纷，引起群体影响的；</w:t>
      </w:r>
    </w:p>
    <w:p w14:paraId="13D396C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（4）放射源丢失、被盗的；放射性同位素和射线装置失控或放射性物质泄漏，造成辐射污染后果的；</w:t>
      </w:r>
    </w:p>
    <w:p w14:paraId="3AEEC59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（5）危险化学品生产、运输、存贮、销售、使用过程中发生泄漏，造成突发环境污染，对环境和公众安全造成严重威胁的；</w:t>
      </w:r>
    </w:p>
    <w:p w14:paraId="066B6DB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（6）企业生产过程中因意外事故可能造成较大或较大以上突发环境污染的；</w:t>
      </w:r>
    </w:p>
    <w:p w14:paraId="5E79E78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（7）危险废弃物在处置、贮存、运输过程中因非正常排放对环境造成严重污染的；</w:t>
      </w:r>
    </w:p>
    <w:p w14:paraId="2066A76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（8）接到乡镇、或企事业单位的应急救援请求；</w:t>
      </w:r>
    </w:p>
    <w:p w14:paraId="3031FC6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（9）接到上级关于危险化学品事故救援增援指示；</w:t>
      </w:r>
    </w:p>
    <w:p w14:paraId="69A5E94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（10）执行其他应急预案需要启动本预案等情况时。</w:t>
      </w:r>
    </w:p>
    <w:p w14:paraId="042A7B13">
      <w:pPr>
        <w:pStyle w:val="5"/>
        <w:bidi w:val="0"/>
        <w:rPr>
          <w:color w:val="auto"/>
        </w:rPr>
      </w:pPr>
      <w:bookmarkStart w:id="211" w:name="_Toc2060476751"/>
      <w:bookmarkStart w:id="212" w:name="_Toc89548206"/>
      <w:bookmarkStart w:id="213" w:name="_Toc89469705"/>
      <w:bookmarkStart w:id="214" w:name="_Toc28775"/>
      <w:r>
        <w:rPr>
          <w:color w:val="auto"/>
        </w:rPr>
        <w:t>信息报告</w:t>
      </w:r>
      <w:bookmarkEnd w:id="211"/>
      <w:bookmarkEnd w:id="212"/>
      <w:bookmarkEnd w:id="213"/>
      <w:bookmarkEnd w:id="214"/>
    </w:p>
    <w:p w14:paraId="03A77386">
      <w:pPr>
        <w:pStyle w:val="6"/>
        <w:bidi w:val="0"/>
        <w:rPr>
          <w:color w:val="auto"/>
        </w:rPr>
      </w:pPr>
      <w:bookmarkStart w:id="215" w:name="_Toc89548207"/>
      <w:bookmarkStart w:id="216" w:name="_Toc21886"/>
      <w:bookmarkStart w:id="217" w:name="_Toc89469706"/>
      <w:bookmarkStart w:id="218" w:name="_Toc111462535"/>
      <w:r>
        <w:rPr>
          <w:color w:val="auto"/>
        </w:rPr>
        <w:t>突发环境事件信息接报与处理</w:t>
      </w:r>
      <w:bookmarkEnd w:id="215"/>
      <w:bookmarkEnd w:id="216"/>
      <w:bookmarkEnd w:id="217"/>
      <w:bookmarkEnd w:id="218"/>
    </w:p>
    <w:p w14:paraId="321F63C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污染事故一旦发生，事故现场有关人员应当立即报告单位负责人，单位负责人接到报告后，应当立即启动本单位相应的事故应急救援预案，对事故现场进行控制和救援。当现场事故状态紧急，或可能发生事故后果扩大化时，现场人员可立即向环保12369、火警119、公安联动110、急救120紧急求救。</w:t>
      </w:r>
    </w:p>
    <w:p w14:paraId="52C6293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（1）任何部门或单位通过日常检查、群众举报、环保投诉热线、新闻媒体或其他途径得知的重大环境事件隐患，必须立即报主管部门，由主管部门报</w:t>
      </w:r>
      <w:r>
        <w:rPr>
          <w:rFonts w:hint="eastAsia" w:eastAsia="仿宋"/>
          <w:color w:val="auto"/>
          <w:sz w:val="28"/>
          <w:szCs w:val="28"/>
        </w:rPr>
        <w:t>额尔古纳市</w:t>
      </w:r>
      <w:r>
        <w:rPr>
          <w:rFonts w:eastAsia="仿宋"/>
          <w:color w:val="auto"/>
          <w:sz w:val="28"/>
          <w:szCs w:val="28"/>
        </w:rPr>
        <w:t>突发环境事件应急办公室。</w:t>
      </w:r>
    </w:p>
    <w:p w14:paraId="6B8F89F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（2）各职能部门应在上报信息的同时，指派执法人员对突发环境事件隐患的源头单位进行污染控制，防止环境污染的进一步扩大。同时，责任单位要通报可能受到污染的单位和居民。</w:t>
      </w:r>
    </w:p>
    <w:p w14:paraId="4594AC9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（3）对重大环境事件隐患</w:t>
      </w:r>
      <w:r>
        <w:rPr>
          <w:rFonts w:hint="eastAsia" w:eastAsia="仿宋"/>
          <w:color w:val="auto"/>
          <w:sz w:val="28"/>
          <w:szCs w:val="28"/>
        </w:rPr>
        <w:t>（</w:t>
      </w:r>
      <w:r>
        <w:rPr>
          <w:rFonts w:eastAsia="仿宋"/>
          <w:color w:val="auto"/>
          <w:sz w:val="28"/>
          <w:szCs w:val="28"/>
        </w:rPr>
        <w:t>无论属于哪个部门主管</w:t>
      </w:r>
      <w:r>
        <w:rPr>
          <w:rFonts w:hint="eastAsia" w:eastAsia="仿宋"/>
          <w:color w:val="auto"/>
          <w:sz w:val="28"/>
          <w:szCs w:val="28"/>
        </w:rPr>
        <w:t>）</w:t>
      </w:r>
      <w:r>
        <w:rPr>
          <w:rFonts w:eastAsia="仿宋"/>
          <w:color w:val="auto"/>
          <w:sz w:val="28"/>
          <w:szCs w:val="28"/>
        </w:rPr>
        <w:t>接报后，立即由主管部门报</w:t>
      </w:r>
      <w:r>
        <w:rPr>
          <w:rFonts w:hint="eastAsia" w:eastAsia="仿宋"/>
          <w:color w:val="auto"/>
          <w:sz w:val="28"/>
          <w:szCs w:val="28"/>
        </w:rPr>
        <w:t>额尔古纳市</w:t>
      </w:r>
      <w:r>
        <w:rPr>
          <w:rFonts w:eastAsia="仿宋"/>
          <w:color w:val="auto"/>
          <w:sz w:val="28"/>
          <w:szCs w:val="28"/>
        </w:rPr>
        <w:t>突发环境事件应急办公室。</w:t>
      </w:r>
    </w:p>
    <w:p w14:paraId="7DA2A6D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（4）值班人员接到突发环境事件的报告后，应尽可能详细准确</w:t>
      </w:r>
      <w:r>
        <w:rPr>
          <w:rFonts w:hint="eastAsia" w:eastAsia="仿宋"/>
          <w:color w:val="auto"/>
          <w:sz w:val="28"/>
          <w:szCs w:val="28"/>
        </w:rPr>
        <w:t>地</w:t>
      </w:r>
      <w:r>
        <w:rPr>
          <w:rFonts w:eastAsia="仿宋"/>
          <w:color w:val="auto"/>
          <w:sz w:val="28"/>
          <w:szCs w:val="28"/>
        </w:rPr>
        <w:t>记录事件发生的时间、地点、单位名称、时间原因、事件类别、主要污染物、影响区域和联系方式等基本信息；</w:t>
      </w:r>
    </w:p>
    <w:p w14:paraId="5D7DBE4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（5）应急办公室接到报告后，上报应急指挥部，启动应急救援程序，通知应急救援队伍赶赴事故现场；</w:t>
      </w:r>
    </w:p>
    <w:p w14:paraId="67C6EF6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（6）应急救援人员到达现场后，应迅速对事故现场的污染程度进行监测分析，将监测情况报告应急指挥部，并对污染情况作出评估；</w:t>
      </w:r>
    </w:p>
    <w:p w14:paraId="0215F2BE">
      <w:pPr>
        <w:adjustRightInd w:val="0"/>
        <w:snapToGrid w:val="0"/>
        <w:spacing w:line="360" w:lineRule="auto"/>
        <w:ind w:left="0" w:firstLine="560" w:firstLineChars="200"/>
        <w:rPr>
          <w:rFonts w:eastAsia="仿宋"/>
          <w:color w:val="auto"/>
        </w:rPr>
      </w:pPr>
      <w:r>
        <w:rPr>
          <w:rFonts w:eastAsia="仿宋"/>
          <w:color w:val="auto"/>
          <w:sz w:val="28"/>
          <w:szCs w:val="28"/>
        </w:rPr>
        <w:t>（7）当事故得到控制，由应急办公室负责写出事故分析报告，上报应急指挥部。</w:t>
      </w:r>
    </w:p>
    <w:p w14:paraId="3C0ED28C">
      <w:pPr>
        <w:pStyle w:val="6"/>
        <w:bidi w:val="0"/>
        <w:rPr>
          <w:color w:val="auto"/>
        </w:rPr>
      </w:pPr>
      <w:bookmarkStart w:id="219" w:name="_Toc89548208"/>
      <w:bookmarkStart w:id="220" w:name="_Toc30578"/>
      <w:bookmarkStart w:id="221" w:name="_Toc745085561"/>
      <w:bookmarkStart w:id="222" w:name="_Toc89469707"/>
      <w:r>
        <w:rPr>
          <w:color w:val="auto"/>
        </w:rPr>
        <w:t>报告时限要求和程序</w:t>
      </w:r>
      <w:bookmarkEnd w:id="219"/>
      <w:bookmarkEnd w:id="220"/>
      <w:bookmarkEnd w:id="221"/>
      <w:bookmarkEnd w:id="222"/>
    </w:p>
    <w:p w14:paraId="2F047A99">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突发环境事件应急工作办公室在发现或得知突发环境事件信息后，应当立即进行核实，对突发环境事件的性质和类别做出初步认定。</w:t>
      </w:r>
    </w:p>
    <w:p w14:paraId="171C8D3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对初步认定为一般（IV级）或者较大（III级）突发环境事件的，事件发生地设区的市级或者县级人民政府环境保护主管部门（呼伦贝尔市生态环境局</w:t>
      </w:r>
      <w:r>
        <w:rPr>
          <w:rFonts w:hint="eastAsia" w:eastAsia="仿宋"/>
          <w:color w:val="auto"/>
          <w:sz w:val="28"/>
          <w:szCs w:val="28"/>
        </w:rPr>
        <w:t>额尔古纳市分局</w:t>
      </w:r>
      <w:r>
        <w:rPr>
          <w:rFonts w:eastAsia="仿宋"/>
          <w:color w:val="auto"/>
          <w:sz w:val="28"/>
          <w:szCs w:val="28"/>
        </w:rPr>
        <w:t>）应当在4小时内向本级人民政府（</w:t>
      </w:r>
      <w:r>
        <w:rPr>
          <w:rFonts w:hint="eastAsia" w:eastAsia="仿宋"/>
          <w:color w:val="auto"/>
          <w:sz w:val="28"/>
          <w:szCs w:val="28"/>
        </w:rPr>
        <w:t>额尔古纳市</w:t>
      </w:r>
      <w:r>
        <w:rPr>
          <w:rFonts w:eastAsia="仿宋"/>
          <w:color w:val="auto"/>
          <w:sz w:val="28"/>
          <w:szCs w:val="28"/>
        </w:rPr>
        <w:t>人民政府）和上一级人民政府环境保护主管部门（呼伦贝尔市生态环境局）报告。</w:t>
      </w:r>
    </w:p>
    <w:p w14:paraId="0690CCB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对初步认定为重大（II级）或者特别重大（I级）突发环境事件的，事件发生地设区的市级或者县级人民政府环境保护主管部门（呼伦贝尔市生态环境局</w:t>
      </w:r>
      <w:r>
        <w:rPr>
          <w:rFonts w:hint="eastAsia" w:eastAsia="仿宋"/>
          <w:color w:val="auto"/>
          <w:sz w:val="28"/>
          <w:szCs w:val="28"/>
        </w:rPr>
        <w:t>额尔古纳市分局</w:t>
      </w:r>
      <w:r>
        <w:rPr>
          <w:rFonts w:eastAsia="仿宋"/>
          <w:color w:val="auto"/>
          <w:sz w:val="28"/>
          <w:szCs w:val="28"/>
        </w:rPr>
        <w:t>）应当在2小时内向本级人民政府（</w:t>
      </w:r>
      <w:r>
        <w:rPr>
          <w:rFonts w:hint="eastAsia" w:eastAsia="仿宋"/>
          <w:color w:val="auto"/>
          <w:sz w:val="28"/>
          <w:szCs w:val="28"/>
        </w:rPr>
        <w:t>额尔古纳市</w:t>
      </w:r>
      <w:r>
        <w:rPr>
          <w:rFonts w:eastAsia="仿宋"/>
          <w:color w:val="auto"/>
          <w:sz w:val="28"/>
          <w:szCs w:val="28"/>
        </w:rPr>
        <w:t>人民政府）和省人民政府环境保护主管部门报告。省级人民政府环境保护主管部门接到报告后，应当进行信息核实并在1小时内报告生态环境部。</w:t>
      </w:r>
    </w:p>
    <w:p w14:paraId="4B2C12F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突发环境事件处置过程中事件级别发生变化的，应当按照变化后的级别报告信息。发生下列一时无法判明等级的突发环境事件，呼伦贝尔市生态环境局</w:t>
      </w:r>
      <w:r>
        <w:rPr>
          <w:rFonts w:hint="eastAsia" w:eastAsia="仿宋"/>
          <w:color w:val="auto"/>
          <w:sz w:val="28"/>
          <w:szCs w:val="28"/>
        </w:rPr>
        <w:t>额尔古纳市分局</w:t>
      </w:r>
      <w:r>
        <w:rPr>
          <w:rFonts w:eastAsia="仿宋"/>
          <w:color w:val="auto"/>
          <w:sz w:val="28"/>
          <w:szCs w:val="28"/>
        </w:rPr>
        <w:t>应当按照重大（II级）或者特别重大（I级）突发环境事件的报告程序上报：</w:t>
      </w:r>
    </w:p>
    <w:p w14:paraId="34E77E3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（1）对饮用水水源保护区造成或者可能造成影响的；</w:t>
      </w:r>
    </w:p>
    <w:p w14:paraId="5381930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（2）涉及居民聚居区、学校、医院等敏感区域和敏感人群的；</w:t>
      </w:r>
    </w:p>
    <w:p w14:paraId="7BD88F3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（3）涉及重金属或者类金属污染的；</w:t>
      </w:r>
    </w:p>
    <w:p w14:paraId="07A1277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（4）因环境污染引发群体性事件，或者社会影响较大的；</w:t>
      </w:r>
    </w:p>
    <w:p w14:paraId="08B439F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w:t>
      </w:r>
      <w:r>
        <w:rPr>
          <w:rFonts w:hint="eastAsia" w:eastAsia="仿宋"/>
          <w:color w:val="auto"/>
          <w:sz w:val="28"/>
          <w:szCs w:val="28"/>
        </w:rPr>
        <w:t>额尔古纳市</w:t>
      </w:r>
      <w:r>
        <w:rPr>
          <w:rFonts w:eastAsia="仿宋"/>
          <w:color w:val="auto"/>
          <w:sz w:val="28"/>
          <w:szCs w:val="28"/>
        </w:rPr>
        <w:t>突发环境事件应急办公室认为有必要报告的其他突发环境事件。</w:t>
      </w:r>
    </w:p>
    <w:p w14:paraId="5BC5529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上级人民政府环境保护主管部门先于下级人民政府环境保护主管部门获悉突发环境事件信息的，可以要求下级人民政府环境保护主管部门核实并报告相应信息。</w:t>
      </w:r>
    </w:p>
    <w:p w14:paraId="18EDF31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向生态环境部报告突发环境事件有关信息的，应当报告总值班室，同时报告生态环境部环境应急指挥领导小组办公室。生态环境部环境应急指挥领导小组办公室应当根据情况向部内相关司局通报有关信息。生态环境部在接到下级人民政府环境保护主管部门重大（Ⅱ级）或者特别重大（I级）突发环境事件以及其他有必要报告的突发环境事件信息后，应当及时向国务院总值班室和中共中央办公厅秘书局报告。</w:t>
      </w:r>
    </w:p>
    <w:p w14:paraId="07E67D4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如果是在运输过程中发生危险化学品事故，当事人必须立即向当地政府及</w:t>
      </w:r>
      <w:r>
        <w:rPr>
          <w:rFonts w:hint="eastAsia" w:eastAsia="仿宋"/>
          <w:color w:val="auto"/>
          <w:sz w:val="28"/>
          <w:szCs w:val="28"/>
        </w:rPr>
        <w:t>应急</w:t>
      </w:r>
      <w:r>
        <w:rPr>
          <w:rFonts w:eastAsia="仿宋"/>
          <w:color w:val="auto"/>
          <w:sz w:val="28"/>
          <w:szCs w:val="28"/>
        </w:rPr>
        <w:t>、环保</w:t>
      </w:r>
      <w:r>
        <w:rPr>
          <w:rFonts w:hint="eastAsia" w:eastAsia="仿宋"/>
          <w:color w:val="auto"/>
          <w:sz w:val="28"/>
          <w:szCs w:val="28"/>
        </w:rPr>
        <w:t>和</w:t>
      </w:r>
      <w:r>
        <w:rPr>
          <w:rFonts w:eastAsia="仿宋"/>
          <w:color w:val="auto"/>
          <w:sz w:val="28"/>
          <w:szCs w:val="28"/>
        </w:rPr>
        <w:t>质监等相关部门报告，或直接拨打119、110等电话求救，接到求救信号的相关部门，必须立即向当地政府、上级政府和相关部门报告。各部门要立即赶赴事故现场。</w:t>
      </w:r>
    </w:p>
    <w:p w14:paraId="24F9976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危险化学品事故（泄漏或爆炸）已发生，且事态已扩大和蔓延，但事故单位或当事人未按要求及时报告事故信息，导致事发地不明，无法实施应急救援，应采取以下搜寻措施：</w:t>
      </w:r>
    </w:p>
    <w:p w14:paraId="4D64955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（1）第一时间获悉的相关个人或部门应立即报告呼伦贝尔市生态环境局</w:t>
      </w:r>
      <w:r>
        <w:rPr>
          <w:rFonts w:hint="eastAsia" w:eastAsia="仿宋"/>
          <w:color w:val="auto"/>
          <w:sz w:val="28"/>
          <w:szCs w:val="28"/>
        </w:rPr>
        <w:t>额尔古纳市分局</w:t>
      </w:r>
      <w:r>
        <w:rPr>
          <w:rFonts w:eastAsia="仿宋"/>
          <w:color w:val="auto"/>
          <w:sz w:val="28"/>
          <w:szCs w:val="28"/>
        </w:rPr>
        <w:t>，接到报告后，呼伦贝尔市生态环境局</w:t>
      </w:r>
      <w:r>
        <w:rPr>
          <w:rFonts w:hint="eastAsia" w:eastAsia="仿宋"/>
          <w:color w:val="auto"/>
          <w:sz w:val="28"/>
          <w:szCs w:val="28"/>
        </w:rPr>
        <w:t>额尔古纳市分局</w:t>
      </w:r>
      <w:r>
        <w:rPr>
          <w:rFonts w:eastAsia="仿宋"/>
          <w:color w:val="auto"/>
          <w:sz w:val="28"/>
          <w:szCs w:val="28"/>
        </w:rPr>
        <w:t>同时立即报告市政府；</w:t>
      </w:r>
    </w:p>
    <w:p w14:paraId="2355018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（2）呼伦贝尔市生态环境局</w:t>
      </w:r>
      <w:r>
        <w:rPr>
          <w:rFonts w:hint="eastAsia" w:eastAsia="仿宋"/>
          <w:color w:val="auto"/>
          <w:sz w:val="28"/>
          <w:szCs w:val="28"/>
        </w:rPr>
        <w:t>额尔古纳市分局</w:t>
      </w:r>
      <w:r>
        <w:rPr>
          <w:rFonts w:eastAsia="仿宋"/>
          <w:color w:val="auto"/>
          <w:sz w:val="28"/>
          <w:szCs w:val="28"/>
        </w:rPr>
        <w:t>应迅速落实对所辖范围内的危险化学品企业逐一进行联系、调查，电话联系不上的，要迅速派人前往；</w:t>
      </w:r>
    </w:p>
    <w:p w14:paraId="4DF985A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（3）呼伦贝尔市生态环境局</w:t>
      </w:r>
      <w:r>
        <w:rPr>
          <w:rFonts w:hint="eastAsia" w:eastAsia="仿宋"/>
          <w:color w:val="auto"/>
          <w:sz w:val="28"/>
          <w:szCs w:val="28"/>
        </w:rPr>
        <w:t>额尔古纳市分局</w:t>
      </w:r>
      <w:r>
        <w:rPr>
          <w:rFonts w:eastAsia="仿宋"/>
          <w:color w:val="auto"/>
          <w:sz w:val="28"/>
          <w:szCs w:val="28"/>
        </w:rPr>
        <w:t>应根据风向迅速组织力量，搜寻大气污染源；</w:t>
      </w:r>
    </w:p>
    <w:p w14:paraId="0D27473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（4）公安部门对辖区内道路进行搜寻；</w:t>
      </w:r>
    </w:p>
    <w:p w14:paraId="32FDB74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（5）水利部门对辖区内河道进行搜寻；</w:t>
      </w:r>
    </w:p>
    <w:p w14:paraId="1229C4B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（6）确定目标后立即报告上级政府及相关部门。</w:t>
      </w:r>
    </w:p>
    <w:p w14:paraId="0DC15AE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环境监测部门的报告：环境监测部门在常规环境质量监测过程中发现监测数据异常，应及时向应急指挥部办公室领导报告，并加大采样、监测频次。应急指挥部办公室召集专家组成员对监测数据进行分析，并组成调查小组对数据异常原因进行实地调查，形成结论。经调查确认环境污染事件已发生或有明显发生趋势时，</w:t>
      </w:r>
      <w:r>
        <w:rPr>
          <w:rFonts w:hint="eastAsia" w:eastAsia="仿宋"/>
          <w:color w:val="auto"/>
          <w:sz w:val="28"/>
          <w:szCs w:val="28"/>
        </w:rPr>
        <w:t>额尔古纳市</w:t>
      </w:r>
      <w:r>
        <w:rPr>
          <w:rFonts w:eastAsia="仿宋"/>
          <w:color w:val="auto"/>
          <w:sz w:val="28"/>
          <w:szCs w:val="28"/>
        </w:rPr>
        <w:t>应急指挥部组织进行污染源调查、控制、转移、污染消除、人员撤离、受污染区域划定等工作，责令停止可能导致事件扩大的各种行为。</w:t>
      </w:r>
    </w:p>
    <w:p w14:paraId="59531275">
      <w:pPr>
        <w:adjustRightInd w:val="0"/>
        <w:snapToGrid w:val="0"/>
        <w:spacing w:line="360" w:lineRule="auto"/>
        <w:ind w:left="0" w:firstLine="560" w:firstLineChars="200"/>
        <w:rPr>
          <w:rFonts w:eastAsia="仿宋"/>
          <w:color w:val="auto"/>
        </w:rPr>
      </w:pPr>
      <w:r>
        <w:rPr>
          <w:rFonts w:eastAsia="仿宋"/>
          <w:color w:val="auto"/>
          <w:sz w:val="28"/>
          <w:szCs w:val="28"/>
        </w:rPr>
        <w:t>应急指挥部根据反馈的信息初步确定事件级别，视情况通知市突发环境应急指挥部各成员单位做好应急准备。</w:t>
      </w:r>
    </w:p>
    <w:p w14:paraId="23420BC1">
      <w:pPr>
        <w:pStyle w:val="6"/>
        <w:bidi w:val="0"/>
        <w:rPr>
          <w:color w:val="auto"/>
        </w:rPr>
      </w:pPr>
      <w:bookmarkStart w:id="223" w:name="_Toc89469708"/>
      <w:bookmarkStart w:id="224" w:name="_Toc89548209"/>
      <w:bookmarkStart w:id="225" w:name="_Toc675878070"/>
      <w:bookmarkStart w:id="226" w:name="_Toc21534"/>
      <w:r>
        <w:rPr>
          <w:color w:val="auto"/>
        </w:rPr>
        <w:t>事故报告方式和内容</w:t>
      </w:r>
      <w:bookmarkEnd w:id="223"/>
      <w:bookmarkEnd w:id="224"/>
      <w:bookmarkEnd w:id="225"/>
      <w:bookmarkEnd w:id="226"/>
    </w:p>
    <w:p w14:paraId="7F60DCD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突发环境事件的报告分为初报、续报和处理结果报告。</w:t>
      </w:r>
    </w:p>
    <w:p w14:paraId="7DC7759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初报</w:t>
      </w:r>
      <w:r>
        <w:rPr>
          <w:rFonts w:hint="eastAsia" w:eastAsia="仿宋"/>
          <w:color w:val="auto"/>
          <w:sz w:val="28"/>
          <w:szCs w:val="28"/>
        </w:rPr>
        <w:t>是</w:t>
      </w:r>
      <w:r>
        <w:rPr>
          <w:rFonts w:eastAsia="仿宋"/>
          <w:color w:val="auto"/>
          <w:sz w:val="28"/>
          <w:szCs w:val="28"/>
        </w:rPr>
        <w:t>在发现或得知突发环境事件后首次上报；续报</w:t>
      </w:r>
      <w:r>
        <w:rPr>
          <w:rFonts w:hint="eastAsia" w:eastAsia="仿宋"/>
          <w:color w:val="auto"/>
          <w:sz w:val="28"/>
          <w:szCs w:val="28"/>
        </w:rPr>
        <w:t>是</w:t>
      </w:r>
      <w:r>
        <w:rPr>
          <w:rFonts w:eastAsia="仿宋"/>
          <w:color w:val="auto"/>
          <w:sz w:val="28"/>
          <w:szCs w:val="28"/>
        </w:rPr>
        <w:t>在查清有关基本情况、事件发展情况后随时上报；处理结果报告在突发环境事件处理完毕后上报。</w:t>
      </w:r>
    </w:p>
    <w:p w14:paraId="2E64832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初报应当报告突发环境事件的发生时间、地点、信息来源、事件起因和性质、基本过程、主要污染物和数量、监测数据、人员受害情况、饮用水水源地等环境敏感点受影响情况、事件发展趋势、处置情况、拟采取的措施以及下一步工作建议等初步情况，并提供可能受到突发环境事件影响的环境敏感点的分布示意图。</w:t>
      </w:r>
    </w:p>
    <w:p w14:paraId="2461F68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续报应当在初报的基础上，报告有关处置</w:t>
      </w:r>
      <w:r>
        <w:rPr>
          <w:rFonts w:hint="eastAsia" w:eastAsia="仿宋"/>
          <w:color w:val="auto"/>
          <w:sz w:val="28"/>
          <w:szCs w:val="28"/>
        </w:rPr>
        <w:t>工作的</w:t>
      </w:r>
      <w:r>
        <w:rPr>
          <w:rFonts w:eastAsia="仿宋"/>
          <w:color w:val="auto"/>
          <w:sz w:val="28"/>
          <w:szCs w:val="28"/>
        </w:rPr>
        <w:t>进展情况。</w:t>
      </w:r>
    </w:p>
    <w:p w14:paraId="706AF01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处理结果报告应当在初报和续报的基础上，报告处理突发环境事件的措施、过程和结果，突发环境事件潜在或者间接危害以及损失、社会影响、处理后的遗留问题、责任追究等详细情况。</w:t>
      </w:r>
    </w:p>
    <w:p w14:paraId="05305B89">
      <w:pPr>
        <w:adjustRightInd w:val="0"/>
        <w:snapToGrid w:val="0"/>
        <w:spacing w:line="360" w:lineRule="auto"/>
        <w:ind w:left="0" w:firstLine="560" w:firstLineChars="200"/>
        <w:rPr>
          <w:rFonts w:eastAsia="仿宋"/>
          <w:color w:val="auto"/>
        </w:rPr>
      </w:pPr>
      <w:r>
        <w:rPr>
          <w:rFonts w:eastAsia="仿宋"/>
          <w:color w:val="auto"/>
          <w:sz w:val="28"/>
          <w:szCs w:val="28"/>
        </w:rPr>
        <w:t>突发环境事件信息应当采用传真、网络、邮寄和面呈等方式书面报告；情况紧急时，初报可通过电话报告，但应当及时补充书面报告。书面报告中应当载明突发环境事件报告单位、报告签发人、联系人及联系方式等内容，并尽可能提供地图、图片以及相关多媒体资料。</w:t>
      </w:r>
    </w:p>
    <w:p w14:paraId="21B84957">
      <w:pPr>
        <w:pStyle w:val="6"/>
        <w:bidi w:val="0"/>
        <w:rPr>
          <w:color w:val="auto"/>
        </w:rPr>
      </w:pPr>
      <w:bookmarkStart w:id="227" w:name="_Toc89469709"/>
      <w:bookmarkStart w:id="228" w:name="_Toc1441713507"/>
      <w:bookmarkStart w:id="229" w:name="_Toc5106"/>
      <w:bookmarkStart w:id="230" w:name="_Toc89548210"/>
      <w:r>
        <w:rPr>
          <w:color w:val="auto"/>
        </w:rPr>
        <w:t>通报可能影响的区域</w:t>
      </w:r>
      <w:bookmarkEnd w:id="227"/>
      <w:bookmarkEnd w:id="228"/>
      <w:bookmarkEnd w:id="229"/>
      <w:bookmarkEnd w:id="230"/>
    </w:p>
    <w:p w14:paraId="1425C83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（1）接到已经发生或可能发生的跨乡镇行政区域突发环境事件信息时，市突发环境事件应急办公室要及时通报相关乡镇应急部门；</w:t>
      </w:r>
    </w:p>
    <w:p w14:paraId="49A7593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（2）接到已经发生或可能发生跨区、县的突发环境事件信息时，呼伦贝尔市生态环境局</w:t>
      </w:r>
      <w:r>
        <w:rPr>
          <w:rFonts w:hint="eastAsia" w:eastAsia="仿宋"/>
          <w:color w:val="auto"/>
          <w:sz w:val="28"/>
          <w:szCs w:val="28"/>
        </w:rPr>
        <w:t>额尔古纳市分局</w:t>
      </w:r>
      <w:r>
        <w:rPr>
          <w:rFonts w:eastAsia="仿宋"/>
          <w:color w:val="auto"/>
          <w:sz w:val="28"/>
          <w:szCs w:val="28"/>
        </w:rPr>
        <w:t>要及时向</w:t>
      </w:r>
      <w:r>
        <w:rPr>
          <w:rFonts w:hint="eastAsia" w:eastAsia="仿宋"/>
          <w:color w:val="auto"/>
          <w:sz w:val="28"/>
          <w:szCs w:val="28"/>
        </w:rPr>
        <w:t>额尔古纳市</w:t>
      </w:r>
      <w:r>
        <w:rPr>
          <w:rFonts w:eastAsia="仿宋"/>
          <w:color w:val="auto"/>
          <w:sz w:val="28"/>
          <w:szCs w:val="28"/>
        </w:rPr>
        <w:t>人民政府和呼伦贝尔市生态环境局报告。</w:t>
      </w:r>
    </w:p>
    <w:p w14:paraId="5B906C3E">
      <w:pPr>
        <w:pStyle w:val="5"/>
        <w:bidi w:val="0"/>
        <w:rPr>
          <w:color w:val="auto"/>
        </w:rPr>
      </w:pPr>
      <w:bookmarkStart w:id="231" w:name="_Toc15010"/>
      <w:bookmarkStart w:id="232" w:name="_Toc820923048"/>
      <w:bookmarkStart w:id="233" w:name="_Toc89469710"/>
      <w:bookmarkStart w:id="234" w:name="_Toc89548211"/>
      <w:r>
        <w:rPr>
          <w:color w:val="auto"/>
        </w:rPr>
        <w:t>分级响应</w:t>
      </w:r>
      <w:bookmarkEnd w:id="231"/>
      <w:bookmarkEnd w:id="232"/>
      <w:bookmarkEnd w:id="233"/>
      <w:bookmarkEnd w:id="234"/>
    </w:p>
    <w:p w14:paraId="568DD08F">
      <w:pPr>
        <w:pStyle w:val="6"/>
        <w:bidi w:val="0"/>
        <w:rPr>
          <w:color w:val="auto"/>
        </w:rPr>
      </w:pPr>
      <w:bookmarkStart w:id="235" w:name="_Toc1818719408"/>
      <w:bookmarkStart w:id="236" w:name="_Toc89548212"/>
      <w:bookmarkStart w:id="237" w:name="_Toc7416"/>
      <w:bookmarkStart w:id="238" w:name="_Toc89469711"/>
      <w:r>
        <w:rPr>
          <w:color w:val="auto"/>
        </w:rPr>
        <w:t>响应分级</w:t>
      </w:r>
      <w:bookmarkEnd w:id="235"/>
      <w:bookmarkEnd w:id="236"/>
      <w:bookmarkEnd w:id="237"/>
      <w:bookmarkEnd w:id="238"/>
    </w:p>
    <w:p w14:paraId="0EB67DF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依据《国家突发环境事件应急预案》规定，突发环境事件应急响应坚持属地为主的原则，地方各级人民政府按照有关规定全面负责突发环境事件应急处置工作，各相关部门和责任单位各司其职，分别负责不同级别的突发环境事件的应急处置工作。结合</w:t>
      </w:r>
      <w:r>
        <w:rPr>
          <w:rFonts w:hint="eastAsia" w:eastAsia="仿宋"/>
          <w:color w:val="auto"/>
          <w:sz w:val="28"/>
          <w:szCs w:val="28"/>
        </w:rPr>
        <w:t>额尔古纳市</w:t>
      </w:r>
      <w:r>
        <w:rPr>
          <w:rFonts w:eastAsia="仿宋"/>
          <w:color w:val="auto"/>
          <w:sz w:val="28"/>
          <w:szCs w:val="28"/>
        </w:rPr>
        <w:t>的预警分级，按突发环境事件的可控性、严重程度和影响范围，突发环境事件的应急响应分为特别重大（Ⅰ级响应）、重大（Ⅱ级响应）、较大（Ⅲ级响应）、一般（Ⅳ级响应）四级。超出本级应急处置能力时，应及时请求上一级应急救援指挥机构启动上一级应急预案。</w:t>
      </w:r>
    </w:p>
    <w:p w14:paraId="4BC2646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Ⅰ级应急响应</w:t>
      </w:r>
      <w:r>
        <w:rPr>
          <w:rFonts w:hint="eastAsia" w:eastAsia="仿宋"/>
          <w:color w:val="auto"/>
          <w:sz w:val="28"/>
          <w:szCs w:val="28"/>
        </w:rPr>
        <w:t>由</w:t>
      </w:r>
      <w:r>
        <w:rPr>
          <w:rFonts w:eastAsia="仿宋"/>
          <w:color w:val="auto"/>
          <w:sz w:val="28"/>
          <w:szCs w:val="28"/>
        </w:rPr>
        <w:t>生态环境部和国务院有关部门组织实施。</w:t>
      </w:r>
    </w:p>
    <w:p w14:paraId="1634A43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Ⅱ级应急响应由</w:t>
      </w:r>
      <w:r>
        <w:rPr>
          <w:rFonts w:hint="eastAsia" w:eastAsia="仿宋"/>
          <w:color w:val="auto"/>
          <w:sz w:val="28"/>
          <w:szCs w:val="28"/>
        </w:rPr>
        <w:t>内蒙古自治区</w:t>
      </w:r>
      <w:r>
        <w:rPr>
          <w:rFonts w:eastAsia="仿宋"/>
          <w:color w:val="auto"/>
          <w:sz w:val="28"/>
          <w:szCs w:val="28"/>
        </w:rPr>
        <w:t>应急指挥部组织实施。</w:t>
      </w:r>
    </w:p>
    <w:p w14:paraId="7FE7B9B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Ⅲ级应急响应由呼伦贝尔市应急指挥部组织实施。</w:t>
      </w:r>
    </w:p>
    <w:p w14:paraId="4C30D59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Ⅳ级应急响应由</w:t>
      </w:r>
      <w:r>
        <w:rPr>
          <w:rFonts w:hint="eastAsia" w:eastAsia="仿宋"/>
          <w:color w:val="auto"/>
          <w:sz w:val="28"/>
          <w:szCs w:val="28"/>
        </w:rPr>
        <w:t>额尔古纳市</w:t>
      </w:r>
      <w:r>
        <w:rPr>
          <w:rFonts w:eastAsia="仿宋"/>
          <w:color w:val="auto"/>
          <w:sz w:val="28"/>
          <w:szCs w:val="28"/>
        </w:rPr>
        <w:t>的应急指挥机构组织实施。</w:t>
      </w:r>
    </w:p>
    <w:p w14:paraId="5A0DC4C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污染事件级别确定后，响应指挥机构应当立即启动环境应急预案。启动高级别应急预案时，低级别应急预案应先期启动。上级处置力量到达后，指挥部办公室组织成员单位全力配合处置工作。各级环境应急预案启动后，有关部门、单位应同时启动具体的行动方案。</w:t>
      </w:r>
    </w:p>
    <w:p w14:paraId="59959D7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发生在易造成重大影响的地区或重要时段时，可适当提高响应级别。应急响应启动后，可视损失情况及事故的发展趋势调整响应级别，避免响应不足或响应过度。当环境事件影响和危害不断加重，蔓延扩大以致难以控制时，</w:t>
      </w:r>
      <w:r>
        <w:rPr>
          <w:rFonts w:hint="eastAsia" w:eastAsia="仿宋"/>
          <w:color w:val="auto"/>
          <w:sz w:val="28"/>
          <w:szCs w:val="28"/>
        </w:rPr>
        <w:t>额尔古纳市</w:t>
      </w:r>
      <w:r>
        <w:rPr>
          <w:rFonts w:eastAsia="仿宋"/>
          <w:color w:val="auto"/>
          <w:sz w:val="28"/>
          <w:szCs w:val="28"/>
        </w:rPr>
        <w:t>应急指挥部办公室应将有关情况和处理建议上报市应急指挥部同意后，及时提升预警和响应级别；对事件危害已迅速消除，并不会进一步扩散的，市应急指挥部办公室应将有关情况和处理建议上报市应急指挥部同意后，相应降低响应级别或者撤销预警。</w:t>
      </w:r>
      <w:r>
        <w:rPr>
          <w:rFonts w:hint="eastAsia" w:eastAsia="仿宋"/>
          <w:color w:val="auto"/>
          <w:sz w:val="28"/>
          <w:szCs w:val="28"/>
        </w:rPr>
        <w:t>额尔古纳市</w:t>
      </w:r>
      <w:r>
        <w:rPr>
          <w:rFonts w:eastAsia="仿宋"/>
          <w:color w:val="auto"/>
          <w:sz w:val="28"/>
          <w:szCs w:val="28"/>
        </w:rPr>
        <w:t>应急响应流程如图4-1所示。</w:t>
      </w:r>
    </w:p>
    <w:p w14:paraId="1D6D6914">
      <w:pPr>
        <w:pStyle w:val="29"/>
        <w:bidi w:val="0"/>
        <w:rPr>
          <w:color w:val="auto"/>
        </w:rPr>
      </w:pPr>
      <w:r>
        <w:rPr>
          <w:color w:val="auto"/>
        </w:rPr>
        <w:drawing>
          <wp:inline distT="0" distB="0" distL="114300" distR="114300">
            <wp:extent cx="4528820" cy="7279005"/>
            <wp:effectExtent l="0" t="0" r="5080" b="17145"/>
            <wp:docPr id="5" name="图片 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25"/>
                    <pic:cNvPicPr>
                      <a:picLocks noChangeAspect="1"/>
                    </pic:cNvPicPr>
                  </pic:nvPicPr>
                  <pic:blipFill>
                    <a:blip r:embed="rId17"/>
                    <a:stretch>
                      <a:fillRect/>
                    </a:stretch>
                  </pic:blipFill>
                  <pic:spPr>
                    <a:xfrm>
                      <a:off x="0" y="0"/>
                      <a:ext cx="4528820" cy="7279005"/>
                    </a:xfrm>
                    <a:prstGeom prst="rect">
                      <a:avLst/>
                    </a:prstGeom>
                    <a:noFill/>
                    <a:ln>
                      <a:noFill/>
                    </a:ln>
                  </pic:spPr>
                </pic:pic>
              </a:graphicData>
            </a:graphic>
          </wp:inline>
        </w:drawing>
      </w:r>
    </w:p>
    <w:p w14:paraId="7B7B9338">
      <w:pPr>
        <w:pStyle w:val="28"/>
        <w:bidi w:val="0"/>
        <w:rPr>
          <w:color w:val="auto"/>
        </w:rPr>
      </w:pPr>
      <w:r>
        <w:rPr>
          <w:color w:val="auto"/>
        </w:rPr>
        <w:t>图4-1</w:t>
      </w:r>
      <w:r>
        <w:rPr>
          <w:rFonts w:hint="eastAsia"/>
          <w:color w:val="auto"/>
        </w:rPr>
        <w:t>额尔古纳市</w:t>
      </w:r>
      <w:r>
        <w:rPr>
          <w:color w:val="auto"/>
        </w:rPr>
        <w:t>突发环境事件应急响应流程图</w:t>
      </w:r>
    </w:p>
    <w:p w14:paraId="089F75F5">
      <w:pPr>
        <w:adjustRightInd w:val="0"/>
        <w:snapToGrid w:val="0"/>
        <w:spacing w:line="360" w:lineRule="auto"/>
        <w:ind w:left="0" w:firstLine="560" w:firstLineChars="200"/>
        <w:rPr>
          <w:rFonts w:hint="eastAsia" w:eastAsia="仿宋"/>
          <w:color w:val="auto"/>
          <w:sz w:val="28"/>
          <w:szCs w:val="28"/>
        </w:rPr>
        <w:sectPr>
          <w:footnotePr>
            <w:numFmt w:val="decimalHalfWidth"/>
          </w:footnotePr>
          <w:endnotePr>
            <w:numFmt w:val="chineseCounting"/>
          </w:endnotePr>
          <w:pgSz w:w="11905" w:h="16837"/>
          <w:pgMar w:top="1440" w:right="1797" w:bottom="1440" w:left="1797" w:header="709" w:footer="850" w:gutter="0"/>
          <w:pgBorders>
            <w:top w:val="none" w:sz="0" w:space="0"/>
            <w:left w:val="none" w:sz="0" w:space="0"/>
            <w:bottom w:val="none" w:sz="0" w:space="0"/>
            <w:right w:val="none" w:sz="0" w:space="0"/>
          </w:pgBorders>
          <w:pgNumType w:fmt="decimal"/>
          <w:cols w:space="720" w:num="1"/>
          <w:titlePg/>
          <w:docGrid w:linePitch="272" w:charSpace="0"/>
        </w:sectPr>
      </w:pPr>
    </w:p>
    <w:p w14:paraId="56509113">
      <w:pPr>
        <w:pStyle w:val="6"/>
        <w:bidi w:val="0"/>
        <w:rPr>
          <w:color w:val="auto"/>
        </w:rPr>
      </w:pPr>
      <w:bookmarkStart w:id="239" w:name="_Toc89469712"/>
      <w:bookmarkStart w:id="240" w:name="_Toc2082342505"/>
      <w:bookmarkStart w:id="241" w:name="_Toc89548213"/>
      <w:bookmarkStart w:id="242" w:name="_Toc6128"/>
      <w:r>
        <w:rPr>
          <w:color w:val="auto"/>
        </w:rPr>
        <w:t>响应行动</w:t>
      </w:r>
      <w:bookmarkEnd w:id="239"/>
      <w:bookmarkEnd w:id="240"/>
      <w:bookmarkEnd w:id="241"/>
      <w:bookmarkEnd w:id="242"/>
    </w:p>
    <w:p w14:paraId="0AFB7DD5">
      <w:pPr>
        <w:adjustRightInd w:val="0"/>
        <w:snapToGrid w:val="0"/>
        <w:spacing w:line="360" w:lineRule="auto"/>
        <w:ind w:left="0" w:firstLine="548" w:firstLineChars="196"/>
        <w:rPr>
          <w:rFonts w:eastAsia="仿宋"/>
          <w:bCs/>
          <w:color w:val="auto"/>
          <w:sz w:val="28"/>
          <w:szCs w:val="28"/>
        </w:rPr>
      </w:pPr>
      <w:r>
        <w:rPr>
          <w:rFonts w:hint="eastAsia" w:eastAsia="仿宋"/>
          <w:bCs/>
          <w:color w:val="auto"/>
          <w:sz w:val="28"/>
          <w:szCs w:val="28"/>
        </w:rPr>
        <w:t>（1）</w:t>
      </w:r>
      <w:r>
        <w:rPr>
          <w:rFonts w:eastAsia="仿宋"/>
          <w:bCs/>
          <w:color w:val="auto"/>
          <w:sz w:val="28"/>
          <w:szCs w:val="28"/>
        </w:rPr>
        <w:t>Ⅰ、Ⅱ、Ⅲ级响应行动</w:t>
      </w:r>
    </w:p>
    <w:p w14:paraId="6B4A6E57">
      <w:pPr>
        <w:adjustRightInd w:val="0"/>
        <w:snapToGrid w:val="0"/>
        <w:spacing w:line="360" w:lineRule="auto"/>
        <w:ind w:left="0" w:firstLine="548" w:firstLineChars="196"/>
        <w:rPr>
          <w:rFonts w:eastAsia="仿宋"/>
          <w:bCs/>
          <w:color w:val="auto"/>
          <w:sz w:val="28"/>
          <w:szCs w:val="28"/>
        </w:rPr>
      </w:pPr>
      <w:r>
        <w:rPr>
          <w:rFonts w:eastAsia="仿宋"/>
          <w:bCs/>
          <w:color w:val="auto"/>
          <w:sz w:val="28"/>
          <w:szCs w:val="28"/>
        </w:rPr>
        <w:t>较大、重大和特别重大环境污染事件发生后，</w:t>
      </w:r>
      <w:r>
        <w:rPr>
          <w:rFonts w:hint="eastAsia" w:eastAsia="仿宋"/>
          <w:bCs/>
          <w:color w:val="auto"/>
          <w:sz w:val="28"/>
          <w:szCs w:val="28"/>
        </w:rPr>
        <w:t>额尔古纳市</w:t>
      </w:r>
      <w:r>
        <w:rPr>
          <w:rFonts w:eastAsia="仿宋"/>
          <w:bCs/>
          <w:color w:val="auto"/>
          <w:sz w:val="28"/>
          <w:szCs w:val="28"/>
        </w:rPr>
        <w:t>应急指挥部迅速向呼伦贝尔市政府、</w:t>
      </w:r>
      <w:r>
        <w:rPr>
          <w:rFonts w:hint="eastAsia" w:eastAsia="仿宋"/>
          <w:bCs/>
          <w:color w:val="auto"/>
          <w:sz w:val="28"/>
          <w:szCs w:val="28"/>
        </w:rPr>
        <w:t>自治区人民政</w:t>
      </w:r>
      <w:r>
        <w:rPr>
          <w:rFonts w:eastAsia="仿宋"/>
          <w:bCs/>
          <w:color w:val="auto"/>
          <w:sz w:val="28"/>
          <w:szCs w:val="28"/>
        </w:rPr>
        <w:t>府和国务院有关应急指挥机构报告，启动相应级别的应急预案。同时，</w:t>
      </w:r>
      <w:r>
        <w:rPr>
          <w:rFonts w:hint="eastAsia" w:eastAsia="仿宋"/>
          <w:bCs/>
          <w:color w:val="auto"/>
          <w:sz w:val="28"/>
          <w:szCs w:val="28"/>
        </w:rPr>
        <w:t>额尔古纳市</w:t>
      </w:r>
      <w:r>
        <w:rPr>
          <w:rFonts w:eastAsia="仿宋"/>
          <w:bCs/>
          <w:color w:val="auto"/>
          <w:sz w:val="28"/>
          <w:szCs w:val="28"/>
        </w:rPr>
        <w:t>应急指挥部总指挥带领应急工作组成员赶赴现场，在呼伦贝尔市政府、</w:t>
      </w:r>
      <w:r>
        <w:rPr>
          <w:rFonts w:hint="eastAsia" w:eastAsia="仿宋"/>
          <w:bCs/>
          <w:color w:val="auto"/>
          <w:sz w:val="28"/>
          <w:szCs w:val="28"/>
        </w:rPr>
        <w:t>内蒙古自治区</w:t>
      </w:r>
      <w:r>
        <w:rPr>
          <w:rFonts w:eastAsia="仿宋"/>
          <w:bCs/>
          <w:color w:val="auto"/>
          <w:sz w:val="28"/>
          <w:szCs w:val="28"/>
        </w:rPr>
        <w:t>和国务院有关应急指挥机构统一领导和指挥下，与相应乡镇/街道、和企业应急指挥与救援队伍一起配合上级应急救援指挥机构做好事件的应急处理工作，并及时向呼伦贝尔市政府、</w:t>
      </w:r>
      <w:r>
        <w:rPr>
          <w:rFonts w:hint="eastAsia" w:eastAsia="仿宋"/>
          <w:bCs/>
          <w:color w:val="auto"/>
          <w:sz w:val="28"/>
          <w:szCs w:val="28"/>
        </w:rPr>
        <w:t>内蒙古自治区</w:t>
      </w:r>
      <w:r>
        <w:rPr>
          <w:rFonts w:eastAsia="仿宋"/>
          <w:bCs/>
          <w:color w:val="auto"/>
          <w:sz w:val="28"/>
          <w:szCs w:val="28"/>
        </w:rPr>
        <w:t>和国务院应急指挥机构及有关部门报告事件的应急处理工作进展情况，做好救援工作的指挥权交接。</w:t>
      </w:r>
    </w:p>
    <w:p w14:paraId="1081E26E">
      <w:pPr>
        <w:adjustRightInd w:val="0"/>
        <w:snapToGrid w:val="0"/>
        <w:spacing w:line="360" w:lineRule="auto"/>
        <w:ind w:left="0" w:firstLine="548" w:firstLineChars="196"/>
        <w:rPr>
          <w:rFonts w:eastAsia="仿宋"/>
          <w:bCs/>
          <w:color w:val="auto"/>
          <w:sz w:val="28"/>
          <w:szCs w:val="28"/>
        </w:rPr>
      </w:pPr>
      <w:r>
        <w:rPr>
          <w:rFonts w:hint="eastAsia" w:eastAsia="仿宋"/>
          <w:bCs/>
          <w:color w:val="auto"/>
          <w:sz w:val="28"/>
          <w:szCs w:val="28"/>
        </w:rPr>
        <w:t>（2）</w:t>
      </w:r>
      <w:r>
        <w:rPr>
          <w:rFonts w:eastAsia="仿宋"/>
          <w:bCs/>
          <w:color w:val="auto"/>
          <w:sz w:val="28"/>
          <w:szCs w:val="28"/>
        </w:rPr>
        <w:t>IV级响应行动</w:t>
      </w:r>
    </w:p>
    <w:p w14:paraId="2C2743DE">
      <w:pPr>
        <w:adjustRightInd w:val="0"/>
        <w:snapToGrid w:val="0"/>
        <w:spacing w:line="360" w:lineRule="auto"/>
        <w:ind w:left="0" w:firstLine="560" w:firstLineChars="200"/>
        <w:rPr>
          <w:rFonts w:eastAsia="仿宋"/>
          <w:bCs/>
          <w:color w:val="auto"/>
          <w:sz w:val="28"/>
          <w:szCs w:val="28"/>
        </w:rPr>
      </w:pPr>
      <w:r>
        <w:rPr>
          <w:rFonts w:hint="eastAsia" w:eastAsia="仿宋"/>
          <w:bCs/>
          <w:color w:val="auto"/>
          <w:sz w:val="28"/>
          <w:szCs w:val="28"/>
        </w:rPr>
        <w:t>额尔古纳市</w:t>
      </w:r>
      <w:r>
        <w:rPr>
          <w:rFonts w:eastAsia="仿宋"/>
          <w:bCs/>
          <w:color w:val="auto"/>
          <w:sz w:val="28"/>
          <w:szCs w:val="28"/>
        </w:rPr>
        <w:t>应急指挥部办公室接到一般环境事件信息后，立即向总指挥和副总指挥报告，并向</w:t>
      </w:r>
      <w:r>
        <w:rPr>
          <w:rFonts w:hint="eastAsia" w:eastAsia="仿宋"/>
          <w:bCs/>
          <w:color w:val="auto"/>
          <w:sz w:val="28"/>
          <w:szCs w:val="28"/>
        </w:rPr>
        <w:t>额尔古纳市</w:t>
      </w:r>
      <w:r>
        <w:rPr>
          <w:rFonts w:eastAsia="仿宋"/>
          <w:bCs/>
          <w:color w:val="auto"/>
          <w:sz w:val="28"/>
          <w:szCs w:val="28"/>
        </w:rPr>
        <w:t>应急指挥部有关成员单位及可能涉及的地方政府通报有关情况；</w:t>
      </w:r>
      <w:r>
        <w:rPr>
          <w:rFonts w:hint="eastAsia" w:eastAsia="仿宋"/>
          <w:bCs/>
          <w:color w:val="auto"/>
          <w:sz w:val="28"/>
          <w:szCs w:val="28"/>
        </w:rPr>
        <w:t>额尔古纳市</w:t>
      </w:r>
      <w:r>
        <w:rPr>
          <w:rFonts w:eastAsia="仿宋"/>
          <w:bCs/>
          <w:color w:val="auto"/>
          <w:sz w:val="28"/>
          <w:szCs w:val="28"/>
        </w:rPr>
        <w:t>应急指挥部办公室实行24小时专人值班，随时掌握事件进展情况，向市应急指挥部报告；</w:t>
      </w:r>
      <w:r>
        <w:rPr>
          <w:rFonts w:hint="eastAsia" w:eastAsia="仿宋"/>
          <w:bCs/>
          <w:color w:val="auto"/>
          <w:sz w:val="28"/>
          <w:szCs w:val="28"/>
        </w:rPr>
        <w:t>额尔古纳市</w:t>
      </w:r>
      <w:r>
        <w:rPr>
          <w:rFonts w:eastAsia="仿宋"/>
          <w:bCs/>
          <w:color w:val="auto"/>
          <w:sz w:val="28"/>
          <w:szCs w:val="28"/>
        </w:rPr>
        <w:t>应急指挥部办公室组织对事件进行评估，并根据评估结果向</w:t>
      </w:r>
      <w:r>
        <w:rPr>
          <w:rFonts w:hint="eastAsia" w:eastAsia="仿宋"/>
          <w:bCs/>
          <w:color w:val="auto"/>
          <w:sz w:val="28"/>
          <w:szCs w:val="28"/>
        </w:rPr>
        <w:t>额尔古纳市</w:t>
      </w:r>
      <w:r>
        <w:rPr>
          <w:rFonts w:eastAsia="仿宋"/>
          <w:bCs/>
          <w:color w:val="auto"/>
          <w:sz w:val="28"/>
          <w:szCs w:val="28"/>
        </w:rPr>
        <w:t>应急指挥部总指挥提出启动环境事件应急预案建议。</w:t>
      </w:r>
    </w:p>
    <w:p w14:paraId="76330157">
      <w:pPr>
        <w:adjustRightInd w:val="0"/>
        <w:snapToGrid w:val="0"/>
        <w:spacing w:line="360" w:lineRule="auto"/>
        <w:ind w:left="0" w:firstLine="560" w:firstLineChars="200"/>
        <w:rPr>
          <w:rFonts w:eastAsia="仿宋"/>
          <w:bCs/>
          <w:color w:val="auto"/>
          <w:sz w:val="28"/>
          <w:szCs w:val="28"/>
        </w:rPr>
      </w:pPr>
      <w:r>
        <w:rPr>
          <w:rFonts w:hint="eastAsia" w:eastAsia="仿宋"/>
          <w:bCs/>
          <w:color w:val="auto"/>
          <w:sz w:val="28"/>
          <w:szCs w:val="28"/>
        </w:rPr>
        <w:t>额尔古纳市</w:t>
      </w:r>
      <w:r>
        <w:rPr>
          <w:rFonts w:eastAsia="仿宋"/>
          <w:bCs/>
          <w:color w:val="auto"/>
          <w:sz w:val="28"/>
          <w:szCs w:val="28"/>
        </w:rPr>
        <w:t>应急指挥部根据应急指挥部办公室的建议及时启动突发环境事件应急预案，总指挥或者总指挥指派副总指挥率应急工作组赶赴现场处理，组织相关乡镇/街道、和企业应急救援队伍开展应急救援，必要时调集事发地周边地区专业应急力量增援；及时向可能涉及的相邻区、县通报情况；及时向呼伦贝尔市政府、</w:t>
      </w:r>
      <w:r>
        <w:rPr>
          <w:rFonts w:hint="eastAsia" w:eastAsia="仿宋"/>
          <w:bCs/>
          <w:color w:val="auto"/>
          <w:sz w:val="28"/>
          <w:szCs w:val="28"/>
        </w:rPr>
        <w:t>内蒙古自治区</w:t>
      </w:r>
      <w:r>
        <w:rPr>
          <w:rFonts w:eastAsia="仿宋"/>
          <w:bCs/>
          <w:color w:val="auto"/>
          <w:sz w:val="28"/>
          <w:szCs w:val="28"/>
        </w:rPr>
        <w:t>和国务院有关应急指挥机构报告突发环境事件基本情况和应急救援的进展情况；根据事件的发展，适时向公众通报事件处理情况，做好舆论引导工作。</w:t>
      </w:r>
    </w:p>
    <w:p w14:paraId="618BED58">
      <w:pPr>
        <w:pStyle w:val="5"/>
        <w:bidi w:val="0"/>
        <w:rPr>
          <w:color w:val="auto"/>
        </w:rPr>
      </w:pPr>
      <w:bookmarkStart w:id="243" w:name="_Toc389486376"/>
      <w:bookmarkStart w:id="244" w:name="_Toc89469713"/>
      <w:bookmarkStart w:id="245" w:name="_Toc89548214"/>
      <w:bookmarkStart w:id="246" w:name="_Toc398733594"/>
      <w:bookmarkStart w:id="247" w:name="_Toc4494"/>
      <w:r>
        <w:rPr>
          <w:color w:val="auto"/>
        </w:rPr>
        <w:t>指挥与协调</w:t>
      </w:r>
      <w:bookmarkEnd w:id="243"/>
      <w:bookmarkEnd w:id="244"/>
      <w:bookmarkEnd w:id="245"/>
      <w:bookmarkEnd w:id="246"/>
      <w:bookmarkEnd w:id="247"/>
    </w:p>
    <w:p w14:paraId="2DD5D5C4">
      <w:pPr>
        <w:pStyle w:val="6"/>
        <w:bidi w:val="0"/>
        <w:rPr>
          <w:color w:val="auto"/>
        </w:rPr>
      </w:pPr>
      <w:bookmarkStart w:id="248" w:name="_Toc567365376"/>
      <w:bookmarkStart w:id="249" w:name="_Toc89548215"/>
      <w:bookmarkStart w:id="250" w:name="_Toc89469714"/>
      <w:bookmarkStart w:id="251" w:name="_Toc13270"/>
      <w:r>
        <w:rPr>
          <w:color w:val="auto"/>
        </w:rPr>
        <w:t>指挥协调机制</w:t>
      </w:r>
      <w:bookmarkEnd w:id="248"/>
      <w:bookmarkEnd w:id="249"/>
      <w:bookmarkEnd w:id="250"/>
      <w:bookmarkEnd w:id="251"/>
    </w:p>
    <w:p w14:paraId="336A69B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各相关部门、事发单位、协作成员单位必须服从应急指挥部统一指挥，按照各自的应急职能，相互协同，密切配合，共同实施环境应急救援行动。</w:t>
      </w:r>
    </w:p>
    <w:p w14:paraId="0D9874D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各应急救援专业队伍到达现场后，应实施先期救援工作，采取有效措施，全力控制事件发展态势，严防二次污染和次生、衍生事故发生。</w:t>
      </w:r>
    </w:p>
    <w:p w14:paraId="4009E246">
      <w:pPr>
        <w:pStyle w:val="6"/>
        <w:bidi w:val="0"/>
        <w:rPr>
          <w:color w:val="auto"/>
        </w:rPr>
      </w:pPr>
      <w:bookmarkStart w:id="252" w:name="_Toc29569"/>
      <w:bookmarkStart w:id="253" w:name="_Toc89548216"/>
      <w:bookmarkStart w:id="254" w:name="_Toc882481752"/>
      <w:bookmarkStart w:id="255" w:name="_Toc89469715"/>
      <w:r>
        <w:rPr>
          <w:color w:val="auto"/>
        </w:rPr>
        <w:t>指挥协调的主要内容</w:t>
      </w:r>
      <w:bookmarkEnd w:id="252"/>
      <w:bookmarkEnd w:id="253"/>
      <w:bookmarkEnd w:id="254"/>
      <w:bookmarkEnd w:id="255"/>
    </w:p>
    <w:p w14:paraId="499DD0D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突发环境事件应急指挥部指挥协调的主要内容包括：</w:t>
      </w:r>
    </w:p>
    <w:p w14:paraId="0201ACD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（1）提出现场应急行动原则和要求；</w:t>
      </w:r>
    </w:p>
    <w:p w14:paraId="4E12539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（2）派出有关专家和人员参与现场救援；</w:t>
      </w:r>
    </w:p>
    <w:p w14:paraId="1D5EDCA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（3）协调各级、各专业应急救援力量实施应急支援行动；</w:t>
      </w:r>
    </w:p>
    <w:p w14:paraId="47164D9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（4）建立现场警戒区和交通管制区域，确定重点防护区域；</w:t>
      </w:r>
    </w:p>
    <w:p w14:paraId="336CDA0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（5）根据现场监测结果，确定被转移、疏散群众返回时间；</w:t>
      </w:r>
    </w:p>
    <w:p w14:paraId="21C1192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（6）及时向上级政府报告应急救援行动的进展情况。</w:t>
      </w:r>
    </w:p>
    <w:p w14:paraId="1AA6F00D">
      <w:pPr>
        <w:pStyle w:val="5"/>
        <w:bidi w:val="0"/>
        <w:rPr>
          <w:color w:val="auto"/>
        </w:rPr>
      </w:pPr>
      <w:bookmarkStart w:id="256" w:name="_Toc89469716"/>
      <w:bookmarkStart w:id="257" w:name="_Toc89548217"/>
      <w:bookmarkStart w:id="258" w:name="_Toc1348739682"/>
      <w:bookmarkStart w:id="259" w:name="_Toc1320"/>
      <w:r>
        <w:rPr>
          <w:color w:val="auto"/>
        </w:rPr>
        <w:t>市级层面应对工作</w:t>
      </w:r>
      <w:bookmarkEnd w:id="256"/>
      <w:bookmarkEnd w:id="257"/>
      <w:bookmarkEnd w:id="258"/>
      <w:bookmarkEnd w:id="259"/>
    </w:p>
    <w:p w14:paraId="7DEC51A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初判发生一般突发环境事件或事件情况特殊时，</w:t>
      </w:r>
      <w:r>
        <w:rPr>
          <w:rFonts w:hint="eastAsia" w:eastAsia="仿宋"/>
          <w:color w:val="auto"/>
          <w:sz w:val="28"/>
          <w:szCs w:val="28"/>
        </w:rPr>
        <w:t>额尔古纳市</w:t>
      </w:r>
      <w:r>
        <w:rPr>
          <w:rFonts w:eastAsia="仿宋"/>
          <w:color w:val="auto"/>
          <w:sz w:val="28"/>
          <w:szCs w:val="28"/>
        </w:rPr>
        <w:t>突发环境事件应急指挥部派出工作组赴现场指导当地乡镇/街道、和企业应急救援队伍开展应急处置、应急监测和原因调查等工作，并根据需要上报市人民政府协调相关部门提供应急队伍、物资和技术支持。</w:t>
      </w:r>
    </w:p>
    <w:p w14:paraId="6963DAA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初判发生较大、重大或特别重大突发环境事件或事件情况特殊时，</w:t>
      </w:r>
      <w:r>
        <w:rPr>
          <w:rFonts w:hint="eastAsia" w:eastAsia="仿宋"/>
          <w:color w:val="auto"/>
          <w:sz w:val="28"/>
          <w:szCs w:val="28"/>
        </w:rPr>
        <w:t>额尔古纳市</w:t>
      </w:r>
      <w:r>
        <w:rPr>
          <w:rFonts w:eastAsia="仿宋"/>
          <w:color w:val="auto"/>
          <w:sz w:val="28"/>
          <w:szCs w:val="28"/>
        </w:rPr>
        <w:t>突发环境事件应急指挥部在启动市级应急预案的同时，及时向上级应急指挥部报告；同时，派工作组赴事发现场指挥相关乡镇/街道、和企业应急救援队伍开展前期应急救援处置工作，防止事态进一步扩大；上级应急救援工作组到达现场后，市级应急指挥部向上级指挥部交接指挥权，并配合上级应急指挥部开展应急处置、应急监测和原因调查等工作。</w:t>
      </w:r>
    </w:p>
    <w:p w14:paraId="1AB370B6">
      <w:pPr>
        <w:pStyle w:val="5"/>
        <w:bidi w:val="0"/>
        <w:rPr>
          <w:color w:val="auto"/>
        </w:rPr>
      </w:pPr>
      <w:bookmarkStart w:id="260" w:name="_Toc89469717"/>
      <w:bookmarkStart w:id="261" w:name="_Toc20912"/>
      <w:bookmarkStart w:id="262" w:name="_Toc89548218"/>
      <w:bookmarkStart w:id="263" w:name="_Toc1577941289"/>
      <w:r>
        <w:rPr>
          <w:color w:val="auto"/>
        </w:rPr>
        <w:t>应急救援</w:t>
      </w:r>
      <w:bookmarkEnd w:id="260"/>
      <w:bookmarkEnd w:id="261"/>
      <w:bookmarkEnd w:id="262"/>
      <w:bookmarkEnd w:id="263"/>
    </w:p>
    <w:p w14:paraId="6DC47AB3">
      <w:pPr>
        <w:adjustRightInd w:val="0"/>
        <w:snapToGrid w:val="0"/>
        <w:spacing w:line="360" w:lineRule="auto"/>
        <w:ind w:left="0" w:firstLine="560" w:firstLineChars="200"/>
        <w:rPr>
          <w:rFonts w:hint="eastAsia" w:eastAsia="仿宋"/>
          <w:color w:val="auto"/>
          <w:sz w:val="28"/>
          <w:szCs w:val="28"/>
        </w:rPr>
      </w:pPr>
      <w:r>
        <w:rPr>
          <w:rFonts w:hint="eastAsia" w:eastAsia="仿宋"/>
          <w:color w:val="auto"/>
          <w:sz w:val="28"/>
          <w:szCs w:val="28"/>
        </w:rPr>
        <w:t>本预案规范了发生突发环境事故后的先期处置和现场紧急处置措施，结合额尔古纳市风险源可能引发的典型风险事故类型明确了突发环境事件的一般处置方案，区域范围内典型环境风险物质的具体处置方案（应急处置卡）详见附件4。</w:t>
      </w:r>
    </w:p>
    <w:bookmarkEnd w:id="210"/>
    <w:p w14:paraId="2710BA08">
      <w:pPr>
        <w:pStyle w:val="6"/>
        <w:bidi w:val="0"/>
        <w:rPr>
          <w:color w:val="auto"/>
        </w:rPr>
      </w:pPr>
      <w:bookmarkStart w:id="264" w:name="_Toc89548219"/>
      <w:bookmarkStart w:id="265" w:name="_Toc19790"/>
      <w:bookmarkStart w:id="266" w:name="_Toc1183687420"/>
      <w:bookmarkStart w:id="267" w:name="_Toc89469718"/>
      <w:r>
        <w:rPr>
          <w:color w:val="auto"/>
        </w:rPr>
        <w:t>先期处置</w:t>
      </w:r>
      <w:bookmarkEnd w:id="264"/>
      <w:bookmarkEnd w:id="265"/>
      <w:bookmarkEnd w:id="266"/>
      <w:bookmarkEnd w:id="267"/>
    </w:p>
    <w:p w14:paraId="6AE2CE7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发生后，责任单位按照相应的应急预案进行先期处置。立即启动本单位突发环境事件应急预案，指挥本单位应急救援队伍和工作人员营救受害人员，做好现场人员疏散和公共秩序维护；控制危险源，采取污染防治措施，防止次生、衍生灾害的发生和危害的扩大，控制污染物进入环境的途径，尽量降低对周边环境的影响。先期处置过程中的情况应随时报告</w:t>
      </w:r>
      <w:r>
        <w:rPr>
          <w:rFonts w:hint="eastAsia" w:eastAsia="仿宋"/>
          <w:color w:val="auto"/>
          <w:sz w:val="28"/>
          <w:szCs w:val="28"/>
        </w:rPr>
        <w:t>额尔古纳市</w:t>
      </w:r>
      <w:r>
        <w:rPr>
          <w:rFonts w:eastAsia="仿宋"/>
          <w:color w:val="auto"/>
          <w:sz w:val="28"/>
          <w:szCs w:val="28"/>
        </w:rPr>
        <w:t>突发环境事件应急工作办公室。</w:t>
      </w:r>
    </w:p>
    <w:p w14:paraId="3719CFEF">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应急指挥部根据相关预警单位提供的预警内容，应在30min内快速做出综合分析，初步确定预警级别。依据预警级别启动相应级别的应急预案，调集物资、设备与人员，</w:t>
      </w:r>
      <w:r>
        <w:rPr>
          <w:rFonts w:hint="eastAsia" w:eastAsia="仿宋"/>
          <w:color w:val="auto"/>
          <w:sz w:val="28"/>
          <w:szCs w:val="28"/>
        </w:rPr>
        <w:t>全</w:t>
      </w:r>
      <w:r>
        <w:rPr>
          <w:rFonts w:eastAsia="仿宋"/>
          <w:color w:val="auto"/>
          <w:sz w:val="28"/>
          <w:szCs w:val="28"/>
        </w:rPr>
        <w:t>力控制事态发展。按照分级响应权限通知相关单位，并立即组织专业人员前往事发现场开展警戒、疏散群众、控制现场、救护</w:t>
      </w:r>
      <w:r>
        <w:rPr>
          <w:rFonts w:hint="eastAsia" w:eastAsia="仿宋"/>
          <w:color w:val="auto"/>
          <w:sz w:val="28"/>
          <w:szCs w:val="28"/>
        </w:rPr>
        <w:t>和</w:t>
      </w:r>
      <w:r>
        <w:rPr>
          <w:rFonts w:eastAsia="仿宋"/>
          <w:color w:val="auto"/>
          <w:sz w:val="28"/>
          <w:szCs w:val="28"/>
        </w:rPr>
        <w:t>抢险等基础处置工作。相关责任单位应收集现场动态信息，及时向</w:t>
      </w:r>
      <w:r>
        <w:rPr>
          <w:rFonts w:hint="eastAsia" w:eastAsia="仿宋"/>
          <w:color w:val="auto"/>
          <w:sz w:val="28"/>
          <w:szCs w:val="28"/>
        </w:rPr>
        <w:t>额尔古纳市</w:t>
      </w:r>
      <w:r>
        <w:rPr>
          <w:rFonts w:eastAsia="仿宋"/>
          <w:color w:val="auto"/>
          <w:sz w:val="28"/>
          <w:szCs w:val="28"/>
        </w:rPr>
        <w:t>应急指挥部和相关部门报告。</w:t>
      </w:r>
    </w:p>
    <w:p w14:paraId="5C07572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对于较大、重大和特别重大的突发环境事件，需直接向呼伦贝尔市突发环境事件应急指挥部及呼伦贝尔市政府汇报，并按指示做好启动本预案的各项准备工作。</w:t>
      </w:r>
    </w:p>
    <w:p w14:paraId="4503E590">
      <w:pPr>
        <w:pStyle w:val="6"/>
        <w:bidi w:val="0"/>
        <w:rPr>
          <w:color w:val="auto"/>
        </w:rPr>
      </w:pPr>
      <w:bookmarkStart w:id="268" w:name="_Toc2093445779"/>
      <w:bookmarkStart w:id="269" w:name="_Toc17857"/>
      <w:bookmarkStart w:id="270" w:name="_Toc89469719"/>
      <w:bookmarkStart w:id="271" w:name="_Toc89548220"/>
      <w:r>
        <w:rPr>
          <w:color w:val="auto"/>
        </w:rPr>
        <w:t>现场紧急处置</w:t>
      </w:r>
      <w:bookmarkEnd w:id="268"/>
      <w:bookmarkEnd w:id="269"/>
      <w:bookmarkEnd w:id="270"/>
      <w:bookmarkEnd w:id="271"/>
    </w:p>
    <w:p w14:paraId="0DB95DE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与事件风险等级相匹配的应急指挥部根据需要成立突发环境事件现场指挥中心，负责组织协调突发环境事件的现场处置工作。现场处置主要依靠本地区应急处置力量，实行</w:t>
      </w:r>
      <w:r>
        <w:rPr>
          <w:rFonts w:hint="eastAsia" w:eastAsia="仿宋"/>
          <w:color w:val="auto"/>
          <w:sz w:val="28"/>
          <w:szCs w:val="28"/>
        </w:rPr>
        <w:t>额尔古纳市</w:t>
      </w:r>
      <w:r>
        <w:rPr>
          <w:rFonts w:eastAsia="仿宋"/>
          <w:color w:val="auto"/>
          <w:sz w:val="28"/>
          <w:szCs w:val="28"/>
        </w:rPr>
        <w:t>、乡镇/街道和企业三级联动。参加应急处置工作的有关部门要相互支持，密切配合，按照职责分工，接受统一指挥调遣，积极开展工作。根据环境风险物质或危险化学品泄漏、燃烧、爆炸等可能造成的危害范围，建立三级应急救援控制布局。</w:t>
      </w:r>
    </w:p>
    <w:p w14:paraId="58ADDD0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（1）企业范围事故控制：发生危险品泄漏，启动企业应急预案，将泄漏危化品控制在企业范围内进行处理；</w:t>
      </w:r>
    </w:p>
    <w:p w14:paraId="28208AF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w:t>
      </w:r>
      <w:r>
        <w:rPr>
          <w:rFonts w:hint="eastAsia" w:eastAsia="仿宋"/>
          <w:color w:val="auto"/>
          <w:sz w:val="28"/>
          <w:szCs w:val="28"/>
        </w:rPr>
        <w:t>产业园区</w:t>
      </w:r>
      <w:r>
        <w:rPr>
          <w:rFonts w:eastAsia="仿宋"/>
          <w:color w:val="auto"/>
          <w:sz w:val="28"/>
          <w:szCs w:val="28"/>
        </w:rPr>
        <w:t>级范围事故控制：发生危险化学品泄漏或爆炸燃烧，超越企业事故控制范围扩散至内其他企业的，在启动企业应急预案的同时，启动应急预案，将泄漏危险化学品级火灾爆炸控制在范围内进行处置；</w:t>
      </w:r>
    </w:p>
    <w:p w14:paraId="64DE15F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（3）市（县）级范围事故控制</w:t>
      </w:r>
    </w:p>
    <w:p w14:paraId="6D926F9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发生危化品泄漏、燃烧、爆炸或企业外部运输事故，超越企业、</w:t>
      </w:r>
      <w:r>
        <w:rPr>
          <w:rFonts w:hint="eastAsia" w:eastAsia="仿宋"/>
          <w:color w:val="auto"/>
          <w:sz w:val="28"/>
          <w:szCs w:val="28"/>
        </w:rPr>
        <w:t>园区</w:t>
      </w:r>
      <w:r>
        <w:rPr>
          <w:rFonts w:eastAsia="仿宋"/>
          <w:color w:val="auto"/>
          <w:sz w:val="28"/>
          <w:szCs w:val="28"/>
        </w:rPr>
        <w:t>控制范围的，启动企业应急预案和应急预案的同时，启动乡镇/街道和本应急预案。若事故的等级为较大、重大或特别重大，在启动企业、乡镇和</w:t>
      </w:r>
      <w:r>
        <w:rPr>
          <w:rFonts w:hint="eastAsia" w:eastAsia="仿宋"/>
          <w:color w:val="auto"/>
          <w:sz w:val="28"/>
          <w:szCs w:val="28"/>
        </w:rPr>
        <w:t>额尔古纳市</w:t>
      </w:r>
      <w:r>
        <w:rPr>
          <w:rFonts w:eastAsia="仿宋"/>
          <w:color w:val="auto"/>
          <w:sz w:val="28"/>
          <w:szCs w:val="28"/>
        </w:rPr>
        <w:t>应急预案的同时，还需启动更高行政级别的应急预案。</w:t>
      </w:r>
    </w:p>
    <w:p w14:paraId="4CE91C5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对于事故等级为一般的突发环境事件，依据污染物性质、事件类型、事件可控性、严重程度、影响范围及周边环境敏感性，</w:t>
      </w:r>
      <w:r>
        <w:rPr>
          <w:rFonts w:hint="eastAsia" w:eastAsia="仿宋"/>
          <w:color w:val="auto"/>
          <w:sz w:val="28"/>
          <w:szCs w:val="28"/>
        </w:rPr>
        <w:t>额尔古纳市</w:t>
      </w:r>
      <w:r>
        <w:rPr>
          <w:rFonts w:eastAsia="仿宋"/>
          <w:color w:val="auto"/>
          <w:sz w:val="28"/>
          <w:szCs w:val="28"/>
        </w:rPr>
        <w:t>应急救援指挥机构可采取以下应急处置措施：</w:t>
      </w:r>
    </w:p>
    <w:p w14:paraId="5E8AC12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现场处置组到达现场后根据所了解的信息，立即确定事件控制具体方案，布置救援任务，在救援过程中要结合环境风险物质特性配备、佩戴个人防护用品，综合协调组维护现场秩序，划定污染隔离区和交通管制区，确定重点防护区域，并在事故现场不同区域设定明显标志。</w:t>
      </w:r>
    </w:p>
    <w:p w14:paraId="545BE38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（2）针对突发环境事件引发原因的不同，采取不同的应急处置措施。其中主要措施包括：灭火、隔绝、堵漏、拦截、稀释、中和、覆盖、泄压、转移</w:t>
      </w:r>
      <w:r>
        <w:rPr>
          <w:rFonts w:hint="eastAsia" w:eastAsia="仿宋"/>
          <w:color w:val="auto"/>
          <w:sz w:val="28"/>
          <w:szCs w:val="28"/>
        </w:rPr>
        <w:t>和</w:t>
      </w:r>
      <w:r>
        <w:rPr>
          <w:rFonts w:eastAsia="仿宋"/>
          <w:color w:val="auto"/>
          <w:sz w:val="28"/>
          <w:szCs w:val="28"/>
        </w:rPr>
        <w:t>收集等。消除、控制或者安全转移污染源，进一步控制污染物泄放，切断污染物</w:t>
      </w:r>
      <w:r>
        <w:rPr>
          <w:rFonts w:hint="eastAsia" w:eastAsia="仿宋"/>
          <w:color w:val="auto"/>
          <w:sz w:val="28"/>
          <w:szCs w:val="28"/>
        </w:rPr>
        <w:t>的</w:t>
      </w:r>
      <w:r>
        <w:rPr>
          <w:rFonts w:eastAsia="仿宋"/>
          <w:color w:val="auto"/>
          <w:sz w:val="28"/>
          <w:szCs w:val="28"/>
        </w:rPr>
        <w:t>环境转移途径；在事件处理过程中，要采取必要措施，妥善处理消防污水等污染物。</w:t>
      </w:r>
    </w:p>
    <w:p w14:paraId="4C8F436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（3）医疗救护组组织开展紧急医学救援，应急监测组根据监测结果确定事故影响范围及疏散区域，应急保障组确保救援物资和装备的生产、调拨、供应工作。</w:t>
      </w:r>
    </w:p>
    <w:p w14:paraId="3789833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（4）社会稳定组及时疏散受影响群众，向社会告知必要的安全防护措施，做好伤亡人员的善后及安抚工作。同时采取必要措施保障人民群众正常生产和生活，稳定社会秩序。</w:t>
      </w:r>
    </w:p>
    <w:p w14:paraId="0B38852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（5）舆情组及时核实现场情况，组织收集、整理、编辑应急现场信息，保证信息的真实性和传递的及时与畅通，有效管理媒体，并及时向</w:t>
      </w:r>
      <w:r>
        <w:rPr>
          <w:rFonts w:hint="eastAsia" w:eastAsia="仿宋"/>
          <w:color w:val="auto"/>
          <w:sz w:val="28"/>
          <w:szCs w:val="28"/>
        </w:rPr>
        <w:t>额尔古纳市</w:t>
      </w:r>
      <w:r>
        <w:rPr>
          <w:rFonts w:eastAsia="仿宋"/>
          <w:color w:val="auto"/>
          <w:sz w:val="28"/>
          <w:szCs w:val="28"/>
        </w:rPr>
        <w:t>人民政府、呼伦贝尔市生态环境局</w:t>
      </w:r>
      <w:r>
        <w:rPr>
          <w:rFonts w:hint="eastAsia" w:eastAsia="仿宋"/>
          <w:color w:val="auto"/>
          <w:sz w:val="28"/>
          <w:szCs w:val="28"/>
        </w:rPr>
        <w:t>额尔古纳市分局</w:t>
      </w:r>
      <w:r>
        <w:rPr>
          <w:rFonts w:eastAsia="仿宋"/>
          <w:color w:val="auto"/>
          <w:sz w:val="28"/>
          <w:szCs w:val="28"/>
        </w:rPr>
        <w:t>及公众汇报应急处置具体情况。</w:t>
      </w:r>
    </w:p>
    <w:p w14:paraId="1215747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（6）污染事件得到控制后，医疗救护组根据自己的职能范围及时对应急人员、装备进行洗消，清理和安全处置被污染的水、土壤及其他次生污染物。</w:t>
      </w:r>
    </w:p>
    <w:p w14:paraId="418A3F51">
      <w:pPr>
        <w:pStyle w:val="6"/>
        <w:bidi w:val="0"/>
        <w:rPr>
          <w:color w:val="auto"/>
        </w:rPr>
      </w:pPr>
      <w:bookmarkStart w:id="272" w:name="_Toc89469720"/>
      <w:bookmarkStart w:id="273" w:name="_Toc11703"/>
      <w:bookmarkStart w:id="274" w:name="_Toc171135205"/>
      <w:bookmarkStart w:id="275" w:name="_Toc89548221"/>
      <w:r>
        <w:rPr>
          <w:color w:val="auto"/>
        </w:rPr>
        <w:t>突发环境事件一般处置方案</w:t>
      </w:r>
      <w:bookmarkEnd w:id="272"/>
      <w:bookmarkEnd w:id="273"/>
      <w:bookmarkEnd w:id="274"/>
      <w:bookmarkEnd w:id="275"/>
    </w:p>
    <w:p w14:paraId="5F7EFC4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根据突发环境事故可能造成的后果，将环境风险事故分为：火灾事故、爆炸事故、易燃、易爆或有毒物质泄漏事故。针对上述环境风险事故的危害特点，进行事故应急处置。</w:t>
      </w:r>
    </w:p>
    <w:p w14:paraId="49BBD598">
      <w:pPr>
        <w:pStyle w:val="7"/>
        <w:bidi w:val="0"/>
        <w:rPr>
          <w:color w:val="auto"/>
        </w:rPr>
      </w:pPr>
      <w:r>
        <w:rPr>
          <w:rFonts w:hint="eastAsia"/>
          <w:b/>
          <w:bCs/>
          <w:color w:val="auto"/>
          <w:lang w:val="en-US" w:eastAsia="zh-CN"/>
        </w:rPr>
        <w:t>1.</w:t>
      </w:r>
      <w:r>
        <w:rPr>
          <w:b/>
          <w:bCs/>
          <w:color w:val="auto"/>
        </w:rPr>
        <w:t>环境风险物质事故一般处置措施</w:t>
      </w:r>
    </w:p>
    <w:p w14:paraId="4B77C80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（1）接警。接警时应明确危险化学品事故发生的单位、地址、事故引发物质、事故简要情况、人员伤亡情况等。</w:t>
      </w:r>
    </w:p>
    <w:p w14:paraId="05C90C8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（2）隔离事故现场，建立警戒区。事故发生后，应根据化学品泄漏的扩散情况或火焰辐射热所涉及到的范围建立警戒区，并在通往事故现场的主要干道上实行交通管制。</w:t>
      </w:r>
    </w:p>
    <w:p w14:paraId="123A228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（3）人员疏散。包括撤离和就地保护两种。撤离是指迅速将警戒区及污染区内与事故应急处理无关的人员撤离，以减少不必要的人员伤亡。紧急疏散时应注意：</w:t>
      </w:r>
    </w:p>
    <w:p w14:paraId="7F46D09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1）如事故物质有毒时，需要佩戴个体防护用品或采用简易有效的防护措施，并有相应的监护措施；</w:t>
      </w:r>
    </w:p>
    <w:p w14:paraId="5C4F399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2）应向上风向转移；明确专人引导和护送疏散人员到安全区，并在疏散或撤离的路线上设立哨位，指明方向；</w:t>
      </w:r>
    </w:p>
    <w:p w14:paraId="1165E89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3）不要在低洼处滞留；</w:t>
      </w:r>
    </w:p>
    <w:p w14:paraId="5048CFA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4）查清是否有人留在污染区和着火区；</w:t>
      </w:r>
    </w:p>
    <w:p w14:paraId="4631B12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就地保护是指人进入建筑物或其它设施内，直至危险过去。当撤离比就地保护更危险或撤离无法进行时，采取此项措施。指挥建筑物内的人，关闭所有门窗，并关闭所有通风、加热、冷却系统。</w:t>
      </w:r>
    </w:p>
    <w:p w14:paraId="3DA5644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（4）现场控制。应急人员应根据事故特点和事故引发物质的不同，采取不同的防护措施和急救方法。现场控制与急救的注意事项：</w:t>
      </w:r>
    </w:p>
    <w:p w14:paraId="2E6A413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1）选择有利地形设置急救点；</w:t>
      </w:r>
    </w:p>
    <w:p w14:paraId="4CE3FB9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2）作好自身及伤病员的个体防护；</w:t>
      </w:r>
    </w:p>
    <w:p w14:paraId="199948B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3）防止发生继发性损害；</w:t>
      </w:r>
    </w:p>
    <w:p w14:paraId="45CA95A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4）应至少2-3人为一组集体行动，以便相互照应；</w:t>
      </w:r>
    </w:p>
    <w:p w14:paraId="1A5AC11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5）所用的救援器材需具备防爆功能；</w:t>
      </w:r>
    </w:p>
    <w:p w14:paraId="25E7D5F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6）当现场有人受到危险化学品伤害时，应立即进行处理：</w:t>
      </w:r>
    </w:p>
    <w:p w14:paraId="6925B11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a.迅速将患者脱离现场至空气新鲜处；</w:t>
      </w:r>
    </w:p>
    <w:p w14:paraId="0FA23A3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b.呼吸困难时给氧，呼吸停止时立即进行人工呼吸；心脏骤停，立即进行心脏按压；</w:t>
      </w:r>
    </w:p>
    <w:p w14:paraId="62CDAFF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c.皮肤污染时，脱去污染的衣服，用流动清水冲洗，冲洗要及时、彻底、反复多次，头面部灼伤时，要注意眼、耳、鼻、口腔的清洗；</w:t>
      </w:r>
    </w:p>
    <w:p w14:paraId="2E5EBF2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d.当人员发生冻伤时，应迅速复温。复温的方法是采用40</w:t>
      </w:r>
      <w:r>
        <w:rPr>
          <w:rFonts w:hint="eastAsia" w:eastAsia="仿宋"/>
          <w:color w:val="auto"/>
          <w:sz w:val="28"/>
          <w:szCs w:val="28"/>
        </w:rPr>
        <w:t>～</w:t>
      </w:r>
      <w:r>
        <w:rPr>
          <w:rFonts w:eastAsia="仿宋"/>
          <w:color w:val="auto"/>
          <w:sz w:val="28"/>
          <w:szCs w:val="28"/>
        </w:rPr>
        <w:t>42℃恒温热水浸泡，使其温度提高至接近正常。在对冻伤的部位进行轻柔按摩时，应注意不要将冻伤处的皮肤擦破，以防感染；</w:t>
      </w:r>
    </w:p>
    <w:p w14:paraId="7E992AA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e.当人员发生烧伤时，应迅速将患者衣服脱去，用流动清水冲洗降温，用清洁布覆盖创伤面，避免伤面污染；不要任意把水疱弄破，患者口渴时，可适量饮水或含盐饮料；口服者，可根据物料性质，对症处理;</w:t>
      </w:r>
    </w:p>
    <w:p w14:paraId="630150E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f.经现场处理后，应迅速护送至医院救治。</w:t>
      </w:r>
    </w:p>
    <w:p w14:paraId="49C16DC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针对不同事故，开展现场控制工作。应急人员应根据事故特点和事故引发物质的不同，采取不同的防护措施。</w:t>
      </w:r>
    </w:p>
    <w:p w14:paraId="40C0E54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泄漏处理。危险化学品泄漏后，不仅污染环境，对人体也可能造成伤害，对可燃物质，还有引发火灾爆炸的可能。因此，对泄漏事故应及时、正确处理，防止事故扩大。泄漏处理－般包括泄漏源控制及泄漏物处理两部分。泄漏现场处理时，应注意以下几项：</w:t>
      </w:r>
    </w:p>
    <w:p w14:paraId="7570337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1）进入现场人员必须配备必要的个人防护器具；</w:t>
      </w:r>
    </w:p>
    <w:p w14:paraId="5F355EF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2）如果泄漏物是易燃易爆的，应严禁火种；</w:t>
      </w:r>
    </w:p>
    <w:p w14:paraId="12421BC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3）应急处理时严禁单独行动，要有监护人，必要时用水枪掩护；</w:t>
      </w:r>
    </w:p>
    <w:p w14:paraId="6A38187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4）泄漏源的控制。如果有可能的话，可通过控制泄漏源来消除化学品的溢出或泄漏；</w:t>
      </w:r>
    </w:p>
    <w:p w14:paraId="109FBFA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5）泄漏物的处理。现场泄漏物要及时进行覆盖、收容、稀释处理，使泄漏物得到安全可靠的处置，防止二次事故的发生。</w:t>
      </w:r>
    </w:p>
    <w:p w14:paraId="6042DE56">
      <w:pPr>
        <w:pStyle w:val="7"/>
        <w:bidi w:val="0"/>
        <w:rPr>
          <w:b/>
          <w:bCs/>
          <w:color w:val="auto"/>
        </w:rPr>
      </w:pPr>
      <w:r>
        <w:rPr>
          <w:rFonts w:hint="eastAsia"/>
          <w:b/>
          <w:bCs/>
          <w:color w:val="auto"/>
          <w:lang w:val="en-US" w:eastAsia="zh-CN"/>
        </w:rPr>
        <w:t>2.尾矿库突发环境事件</w:t>
      </w:r>
      <w:r>
        <w:rPr>
          <w:b/>
          <w:bCs/>
          <w:color w:val="auto"/>
        </w:rPr>
        <w:t>应急处置</w:t>
      </w:r>
    </w:p>
    <w:p w14:paraId="5C837945">
      <w:pPr>
        <w:pStyle w:val="7"/>
        <w:bidi w:val="0"/>
        <w:rPr>
          <w:rFonts w:hint="eastAsia"/>
          <w:b w:val="0"/>
          <w:bCs w:val="0"/>
          <w:color w:val="auto"/>
        </w:rPr>
      </w:pPr>
      <w:r>
        <w:rPr>
          <w:rFonts w:hint="eastAsia"/>
          <w:b w:val="0"/>
          <w:bCs w:val="0"/>
          <w:color w:val="auto"/>
        </w:rPr>
        <w:t>根据尾矿库突发环境事件危险因素，结合环境风险评估报告中突发环境事件情景分析，对可能造成环境污染的典型突发环境事件情景，制定对应的应急处置方案。</w:t>
      </w:r>
    </w:p>
    <w:p w14:paraId="0F7D053B">
      <w:pPr>
        <w:pStyle w:val="7"/>
        <w:bidi w:val="0"/>
        <w:rPr>
          <w:rFonts w:hint="eastAsia"/>
          <w:b w:val="0"/>
          <w:bCs w:val="0"/>
          <w:color w:val="auto"/>
          <w:lang w:eastAsia="zh-CN"/>
        </w:rPr>
      </w:pPr>
      <w:r>
        <w:rPr>
          <w:rFonts w:hint="eastAsia"/>
          <w:b w:val="0"/>
          <w:bCs w:val="0"/>
          <w:color w:val="auto"/>
          <w:lang w:eastAsia="zh-CN"/>
        </w:rPr>
        <w:t>（</w:t>
      </w:r>
      <w:r>
        <w:rPr>
          <w:rFonts w:hint="eastAsia"/>
          <w:b w:val="0"/>
          <w:bCs w:val="0"/>
          <w:color w:val="auto"/>
          <w:lang w:val="en-US" w:eastAsia="zh-CN"/>
        </w:rPr>
        <w:t>1</w:t>
      </w:r>
      <w:r>
        <w:rPr>
          <w:rFonts w:hint="eastAsia"/>
          <w:b w:val="0"/>
          <w:bCs w:val="0"/>
          <w:color w:val="auto"/>
          <w:lang w:eastAsia="zh-CN"/>
        </w:rPr>
        <w:t>）尾矿砂浆外泄情景处置方案</w:t>
      </w:r>
    </w:p>
    <w:p w14:paraId="768BD3F4">
      <w:pPr>
        <w:pStyle w:val="7"/>
        <w:bidi w:val="0"/>
        <w:rPr>
          <w:rFonts w:hint="default"/>
          <w:b w:val="0"/>
          <w:bCs w:val="0"/>
          <w:color w:val="auto"/>
          <w:lang w:val="en-US" w:eastAsia="zh-CN"/>
        </w:rPr>
      </w:pPr>
      <w:r>
        <w:rPr>
          <w:rFonts w:hint="eastAsia"/>
          <w:b w:val="0"/>
          <w:bCs w:val="0"/>
          <w:color w:val="auto"/>
          <w:lang w:eastAsia="zh-CN"/>
        </w:rPr>
        <w:t>尾矿砂浆外泄主要是由于管涌、裂缝等坝体损坏现象，排水系统堵塞或坍塌，旧排水系统坍塌等，造成的后果是不同量的尾砂浆外泄。根据泄漏量</w:t>
      </w:r>
      <w:r>
        <w:rPr>
          <w:rFonts w:hint="eastAsia"/>
          <w:b w:val="0"/>
          <w:bCs w:val="0"/>
          <w:color w:val="auto"/>
          <w:lang w:val="en-US" w:eastAsia="zh-CN"/>
        </w:rPr>
        <w:t>不同，采取源头控制（立即停止生产、封堵泄漏源、泄漏点下游筑2道堤坝，形成临时沉降池、</w:t>
      </w:r>
      <w:r>
        <w:rPr>
          <w:rFonts w:ascii="Times New Roman" w:hAnsi="Times New Roman"/>
          <w:color w:val="auto"/>
          <w:kern w:val="0"/>
        </w:rPr>
        <w:t>用水泥或石料封堵泄漏源</w:t>
      </w:r>
      <w:r>
        <w:rPr>
          <w:rFonts w:hint="eastAsia" w:ascii="Times New Roman" w:hAnsi="Times New Roman"/>
          <w:color w:val="auto"/>
          <w:kern w:val="0"/>
          <w:lang w:eastAsia="zh-CN"/>
        </w:rPr>
        <w:t>、</w:t>
      </w:r>
      <w:r>
        <w:rPr>
          <w:rFonts w:ascii="Times New Roman" w:hAnsi="Times New Roman"/>
          <w:color w:val="auto"/>
          <w:kern w:val="0"/>
        </w:rPr>
        <w:t>对坝体进行修补、加固</w:t>
      </w:r>
      <w:r>
        <w:rPr>
          <w:rFonts w:hint="eastAsia"/>
          <w:b w:val="0"/>
          <w:bCs w:val="0"/>
          <w:color w:val="auto"/>
          <w:lang w:val="en-US" w:eastAsia="zh-CN"/>
        </w:rPr>
        <w:t>）、过程拦截（汇入出下游不同距离设置拦渣坝、拦截坝）、投加药剂（</w:t>
      </w:r>
      <w:r>
        <w:rPr>
          <w:rFonts w:ascii="Times New Roman" w:hAnsi="Times New Roman"/>
          <w:color w:val="auto"/>
          <w:kern w:val="0"/>
        </w:rPr>
        <w:t>汇入口处拦截坝内投加</w:t>
      </w:r>
      <w:r>
        <w:rPr>
          <w:rFonts w:hint="eastAsia" w:ascii="Times New Roman" w:hAnsi="Times New Roman"/>
          <w:color w:val="auto"/>
          <w:kern w:val="0"/>
          <w:lang w:val="en-US" w:eastAsia="zh-CN"/>
        </w:rPr>
        <w:t>不同量的</w:t>
      </w:r>
      <w:r>
        <w:rPr>
          <w:rFonts w:ascii="Times New Roman" w:hAnsi="Times New Roman"/>
          <w:color w:val="auto"/>
          <w:kern w:val="0"/>
        </w:rPr>
        <w:t>石灰、</w:t>
      </w:r>
      <w:r>
        <w:rPr>
          <w:rFonts w:hint="eastAsia"/>
          <w:color w:val="auto"/>
          <w:kern w:val="0"/>
          <w:lang w:val="en-US" w:eastAsia="zh-CN"/>
        </w:rPr>
        <w:t>絮凝剂</w:t>
      </w:r>
      <w:r>
        <w:rPr>
          <w:rFonts w:hint="eastAsia"/>
          <w:b w:val="0"/>
          <w:bCs w:val="0"/>
          <w:color w:val="auto"/>
          <w:lang w:val="en-US" w:eastAsia="zh-CN"/>
        </w:rPr>
        <w:t>）、应急监测（应急监测点设置在汇入口上游50m处、每级拦截坝溢流口处、最后一道拦截坝下游不同距离处）的方式进行应急处置。</w:t>
      </w:r>
    </w:p>
    <w:p w14:paraId="41FC7927">
      <w:pPr>
        <w:pStyle w:val="7"/>
        <w:bidi w:val="0"/>
        <w:rPr>
          <w:rFonts w:hint="eastAsia"/>
          <w:b w:val="0"/>
          <w:bCs w:val="0"/>
          <w:color w:val="auto"/>
          <w:lang w:val="en-US" w:eastAsia="zh-CN"/>
        </w:rPr>
      </w:pPr>
      <w:r>
        <w:rPr>
          <w:rFonts w:hint="eastAsia"/>
          <w:b w:val="0"/>
          <w:bCs w:val="0"/>
          <w:color w:val="auto"/>
          <w:lang w:val="en-US" w:eastAsia="zh-CN"/>
        </w:rPr>
        <w:t>（2）尾矿水超标外排情景处置方案</w:t>
      </w:r>
    </w:p>
    <w:p w14:paraId="09746678">
      <w:pPr>
        <w:pStyle w:val="7"/>
        <w:bidi w:val="0"/>
        <w:rPr>
          <w:rFonts w:hint="eastAsia"/>
          <w:b w:val="0"/>
          <w:bCs w:val="0"/>
          <w:color w:val="auto"/>
          <w:lang w:val="en-US" w:eastAsia="zh-CN"/>
        </w:rPr>
      </w:pPr>
      <w:r>
        <w:rPr>
          <w:rFonts w:hint="eastAsia"/>
          <w:b w:val="0"/>
          <w:bCs w:val="0"/>
          <w:color w:val="auto"/>
          <w:lang w:val="en-US" w:eastAsia="zh-CN"/>
        </w:rPr>
        <w:t>尾矿水超标外排可能出现的情况为沉淀池3台潜水泵同时故障、尾矿库库区突发停电、选厂事故停产时，可能会造成沉淀池内水溢出。当事故导排渠闸板松动、脱落时，可能会漫过闸板造成尾矿水超标外排，根据超标外排时间不同设置源头控制（</w:t>
      </w:r>
      <w:r>
        <w:rPr>
          <w:rFonts w:ascii="Times New Roman" w:hAnsi="Times New Roman"/>
          <w:color w:val="auto"/>
          <w:kern w:val="0"/>
        </w:rPr>
        <w:t>启用应急泵将沉淀池水、事故池水抽回尾矿库</w:t>
      </w:r>
      <w:r>
        <w:rPr>
          <w:rFonts w:hint="eastAsia" w:ascii="Times New Roman" w:hAnsi="Times New Roman"/>
          <w:color w:val="auto"/>
          <w:kern w:val="0"/>
          <w:lang w:eastAsia="zh-CN"/>
        </w:rPr>
        <w:t>、并根据事故原因对排水沟闸板进行修复处理</w:t>
      </w:r>
      <w:r>
        <w:rPr>
          <w:rFonts w:hint="eastAsia"/>
          <w:b w:val="0"/>
          <w:bCs w:val="0"/>
          <w:color w:val="auto"/>
          <w:lang w:val="en-US" w:eastAsia="zh-CN"/>
        </w:rPr>
        <w:t>）、拦截设施（</w:t>
      </w:r>
      <w:r>
        <w:rPr>
          <w:rFonts w:ascii="Times New Roman" w:hAnsi="Times New Roman"/>
          <w:color w:val="auto"/>
          <w:kern w:val="0"/>
        </w:rPr>
        <w:t>汇入口下游较平缓处挖掘临时处理池，并对临时处理池采取聚乙烯膜或彩条布等简易防渗措施</w:t>
      </w:r>
      <w:r>
        <w:rPr>
          <w:rFonts w:hint="eastAsia"/>
          <w:b w:val="0"/>
          <w:bCs w:val="0"/>
          <w:color w:val="auto"/>
          <w:lang w:val="en-US" w:eastAsia="zh-CN"/>
        </w:rPr>
        <w:t>）、投加药剂（</w:t>
      </w:r>
      <w:r>
        <w:rPr>
          <w:rFonts w:ascii="Times New Roman" w:hAnsi="Times New Roman"/>
          <w:color w:val="auto"/>
          <w:kern w:val="0"/>
        </w:rPr>
        <w:t>事故导排渠闸板处投加石灰和</w:t>
      </w:r>
      <w:r>
        <w:rPr>
          <w:rFonts w:hint="eastAsia"/>
          <w:color w:val="auto"/>
          <w:kern w:val="0"/>
          <w:lang w:eastAsia="zh-CN"/>
        </w:rPr>
        <w:t>絮凝剂</w:t>
      </w:r>
      <w:r>
        <w:rPr>
          <w:rFonts w:hint="eastAsia"/>
          <w:b w:val="0"/>
          <w:bCs w:val="0"/>
          <w:color w:val="auto"/>
          <w:lang w:val="en-US" w:eastAsia="zh-CN"/>
        </w:rPr>
        <w:t>）、应急监测（监测点位设置在</w:t>
      </w:r>
      <w:r>
        <w:rPr>
          <w:rFonts w:ascii="Times New Roman" w:hAnsi="Times New Roman"/>
          <w:color w:val="auto"/>
          <w:kern w:val="0"/>
        </w:rPr>
        <w:t>汇入口处上游50m、临时处理池出水、汇入口下游</w:t>
      </w:r>
      <w:r>
        <w:rPr>
          <w:rFonts w:hint="eastAsia" w:ascii="Times New Roman" w:hAnsi="Times New Roman"/>
          <w:color w:val="auto"/>
          <w:kern w:val="0"/>
          <w:lang w:val="en-US" w:eastAsia="zh-CN"/>
        </w:rPr>
        <w:t>不同距离处</w:t>
      </w:r>
      <w:r>
        <w:rPr>
          <w:rFonts w:hint="eastAsia"/>
          <w:b w:val="0"/>
          <w:bCs w:val="0"/>
          <w:color w:val="auto"/>
          <w:lang w:val="en-US" w:eastAsia="zh-CN"/>
        </w:rPr>
        <w:t>）的方式进行应急处置。</w:t>
      </w:r>
    </w:p>
    <w:p w14:paraId="71AAF11F">
      <w:pPr>
        <w:pStyle w:val="7"/>
        <w:bidi w:val="0"/>
        <w:rPr>
          <w:rFonts w:hint="eastAsia"/>
          <w:b w:val="0"/>
          <w:bCs w:val="0"/>
          <w:color w:val="auto"/>
          <w:lang w:val="en-US" w:eastAsia="zh-CN"/>
        </w:rPr>
      </w:pPr>
      <w:r>
        <w:rPr>
          <w:rFonts w:hint="eastAsia"/>
          <w:b w:val="0"/>
          <w:bCs w:val="0"/>
          <w:color w:val="auto"/>
          <w:lang w:val="en-US" w:eastAsia="zh-CN"/>
        </w:rPr>
        <w:t>（3）尾矿输送管线泄漏情景处置方案</w:t>
      </w:r>
    </w:p>
    <w:p w14:paraId="60F5D951">
      <w:pPr>
        <w:pStyle w:val="7"/>
        <w:bidi w:val="0"/>
        <w:rPr>
          <w:rFonts w:hint="eastAsia"/>
          <w:b w:val="0"/>
          <w:bCs w:val="0"/>
          <w:color w:val="auto"/>
          <w:lang w:val="en-US" w:eastAsia="zh-CN"/>
        </w:rPr>
      </w:pPr>
      <w:r>
        <w:rPr>
          <w:rFonts w:hint="default"/>
          <w:b w:val="0"/>
          <w:bCs w:val="0"/>
          <w:color w:val="auto"/>
          <w:lang w:val="en-US" w:eastAsia="zh-CN"/>
        </w:rPr>
        <w:t>尾矿库输送管线由于长时间磨损或人为扰动导致构筑物发生断裂、抱箍出现松动等，造成尾矿浆泄漏。</w:t>
      </w:r>
      <w:r>
        <w:rPr>
          <w:rFonts w:hint="eastAsia"/>
          <w:b w:val="0"/>
          <w:bCs w:val="0"/>
          <w:color w:val="auto"/>
          <w:lang w:val="en-US" w:eastAsia="zh-CN"/>
        </w:rPr>
        <w:t>根据泄露面积不同分别对道路路肩边渠内、地表过路段、投加药剂、</w:t>
      </w:r>
      <w:r>
        <w:rPr>
          <w:rFonts w:ascii="Times New Roman" w:hAnsi="Times New Roman"/>
          <w:color w:val="auto"/>
          <w:kern w:val="0"/>
        </w:rPr>
        <w:t>居民</w:t>
      </w:r>
      <w:r>
        <w:rPr>
          <w:rFonts w:hint="eastAsia"/>
          <w:b w:val="0"/>
          <w:bCs w:val="0"/>
          <w:color w:val="auto"/>
          <w:lang w:val="en-US" w:eastAsia="zh-CN"/>
        </w:rPr>
        <w:t>设置应急处置方式。</w:t>
      </w:r>
    </w:p>
    <w:p w14:paraId="7B5C5B41">
      <w:pPr>
        <w:pStyle w:val="7"/>
        <w:bidi w:val="0"/>
        <w:rPr>
          <w:rFonts w:hint="eastAsia"/>
          <w:b w:val="0"/>
          <w:bCs w:val="0"/>
          <w:color w:val="auto"/>
          <w:lang w:val="en-US" w:eastAsia="zh-CN"/>
        </w:rPr>
      </w:pPr>
      <w:r>
        <w:rPr>
          <w:rFonts w:hint="default"/>
          <w:b w:val="0"/>
          <w:bCs w:val="0"/>
          <w:color w:val="auto"/>
          <w:lang w:val="en-US" w:eastAsia="zh-CN"/>
        </w:rPr>
        <w:t>道路路肩边渠内</w:t>
      </w:r>
      <w:r>
        <w:rPr>
          <w:rFonts w:hint="eastAsia"/>
          <w:b w:val="0"/>
          <w:bCs w:val="0"/>
          <w:color w:val="auto"/>
          <w:lang w:val="en-US" w:eastAsia="zh-CN"/>
        </w:rPr>
        <w:t>：①关闭柱塞泵，停止尾砂输送；②采用橡胶垫和抱箍对管道进行修复；③在边渠内投加絮凝剂和石灰；④用铲子将泄漏尾砂收集运送至尾矿库。</w:t>
      </w:r>
    </w:p>
    <w:p w14:paraId="1A98235F">
      <w:pPr>
        <w:pStyle w:val="7"/>
        <w:bidi w:val="0"/>
        <w:rPr>
          <w:rFonts w:hint="eastAsia"/>
          <w:b w:val="0"/>
          <w:bCs w:val="0"/>
          <w:color w:val="auto"/>
          <w:lang w:val="en-US" w:eastAsia="zh-CN"/>
        </w:rPr>
      </w:pPr>
      <w:r>
        <w:rPr>
          <w:rFonts w:hint="default"/>
          <w:b w:val="0"/>
          <w:bCs w:val="0"/>
          <w:color w:val="auto"/>
          <w:lang w:val="en-US" w:eastAsia="zh-CN"/>
        </w:rPr>
        <w:t>地表过路段</w:t>
      </w:r>
      <w:r>
        <w:rPr>
          <w:rFonts w:hint="eastAsia"/>
          <w:b w:val="0"/>
          <w:bCs w:val="0"/>
          <w:color w:val="auto"/>
          <w:lang w:val="en-US" w:eastAsia="zh-CN"/>
        </w:rPr>
        <w:t>：①关闭柱塞泵，停止尾砂输送；②在公路前后1km立警示牌。③采用无缝钢管对断裂段进行替换焊接；④在泄漏点下游破土开挖临时事故储池和导流沟；⑤对泄漏点、导流沟、临时事故储池以及受污染土壤投加絮凝剂和石灰；⑥将收集的尾砂及受污染土壤转移运至尾矿库，同时对地表临时事故储池进行恢复。</w:t>
      </w:r>
    </w:p>
    <w:p w14:paraId="40D1BEA8">
      <w:pPr>
        <w:pStyle w:val="7"/>
        <w:bidi w:val="0"/>
        <w:rPr>
          <w:rFonts w:hint="eastAsia"/>
          <w:b w:val="0"/>
          <w:bCs w:val="0"/>
          <w:color w:val="auto"/>
          <w:lang w:val="en-US" w:eastAsia="zh-CN"/>
        </w:rPr>
      </w:pPr>
      <w:r>
        <w:rPr>
          <w:rFonts w:ascii="Times New Roman" w:hAnsi="Times New Roman"/>
          <w:color w:val="auto"/>
          <w:kern w:val="0"/>
        </w:rPr>
        <w:t>居民</w:t>
      </w:r>
      <w:r>
        <w:rPr>
          <w:rFonts w:hint="eastAsia" w:ascii="Times New Roman" w:hAnsi="Times New Roman"/>
          <w:color w:val="auto"/>
          <w:kern w:val="0"/>
          <w:lang w:eastAsia="zh-CN"/>
        </w:rPr>
        <w:t>：</w:t>
      </w:r>
      <w:r>
        <w:rPr>
          <w:rFonts w:hint="eastAsia"/>
          <w:b w:val="0"/>
          <w:bCs w:val="0"/>
          <w:color w:val="auto"/>
          <w:lang w:val="en-US" w:eastAsia="zh-CN"/>
        </w:rPr>
        <w:t>①关闭柱塞泵，停止尾砂输送；②对居民进行疏散；③采用无缝钢管对断裂段替换焊接；④在泄漏点下游采用沙袋围堵；⑤在尾砂流经区域投加絮凝剂和石灰；⑥用铲子将泄漏尾砂、受污染土壤收集运送至尾矿库，并对居民点恢复。</w:t>
      </w:r>
    </w:p>
    <w:p w14:paraId="4EACBAD9">
      <w:pPr>
        <w:pStyle w:val="7"/>
        <w:bidi w:val="0"/>
        <w:rPr>
          <w:rFonts w:hint="eastAsia" w:ascii="Times New Roman" w:hAnsi="Times New Roman"/>
          <w:color w:val="auto"/>
          <w:kern w:val="0"/>
          <w:lang w:eastAsia="zh-CN"/>
        </w:rPr>
      </w:pPr>
      <w:r>
        <w:rPr>
          <w:rFonts w:ascii="Times New Roman" w:hAnsi="Times New Roman"/>
          <w:color w:val="auto"/>
          <w:kern w:val="0"/>
        </w:rPr>
        <w:t>地埋段</w:t>
      </w:r>
      <w:r>
        <w:rPr>
          <w:rFonts w:hint="eastAsia" w:ascii="Times New Roman" w:hAnsi="Times New Roman"/>
          <w:color w:val="auto"/>
          <w:kern w:val="0"/>
          <w:lang w:eastAsia="zh-CN"/>
        </w:rPr>
        <w:t>：①关闭柱塞泵，停止尾砂输送；②泄漏点下游50m处修滞污塘，收集尾矿；③采用无缝钢管对断裂段进行替换焊接；④在滞污塘内、泄漏点下游投加石灰和</w:t>
      </w:r>
      <w:r>
        <w:rPr>
          <w:rFonts w:hint="eastAsia"/>
          <w:color w:val="auto"/>
          <w:kern w:val="0"/>
          <w:lang w:eastAsia="zh-CN"/>
        </w:rPr>
        <w:t>絮凝剂</w:t>
      </w:r>
      <w:r>
        <w:rPr>
          <w:rFonts w:hint="eastAsia" w:ascii="Times New Roman" w:hAnsi="Times New Roman"/>
          <w:color w:val="auto"/>
          <w:kern w:val="0"/>
          <w:lang w:eastAsia="zh-CN"/>
        </w:rPr>
        <w:t>；⑤在泄漏点上游，滞污塘内、下游</w:t>
      </w:r>
      <w:r>
        <w:rPr>
          <w:rFonts w:hint="eastAsia" w:ascii="Times New Roman" w:hAnsi="Times New Roman"/>
          <w:color w:val="auto"/>
          <w:kern w:val="0"/>
          <w:lang w:val="en-US" w:eastAsia="zh-CN"/>
        </w:rPr>
        <w:t>不同距离</w:t>
      </w:r>
      <w:r>
        <w:rPr>
          <w:rFonts w:hint="eastAsia" w:ascii="Times New Roman" w:hAnsi="Times New Roman"/>
          <w:color w:val="auto"/>
          <w:kern w:val="0"/>
          <w:lang w:eastAsia="zh-CN"/>
        </w:rPr>
        <w:t>设监测点位。</w:t>
      </w:r>
    </w:p>
    <w:p w14:paraId="7B9638FE">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3.</w:t>
      </w:r>
      <w:r>
        <w:rPr>
          <w:rFonts w:eastAsia="仿宋"/>
          <w:b/>
          <w:color w:val="auto"/>
          <w:sz w:val="28"/>
          <w:szCs w:val="28"/>
        </w:rPr>
        <w:t>火灾事故现场应急处置</w:t>
      </w:r>
    </w:p>
    <w:p w14:paraId="74CC22A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（1）确定火灾发生的位置；</w:t>
      </w:r>
    </w:p>
    <w:p w14:paraId="07F0270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（2）确定引发火灾的原因；</w:t>
      </w:r>
    </w:p>
    <w:p w14:paraId="40D31C0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（3）确定引起火灾的物质类别（压缩气体、液化气体、易燃液体、易燃物品、自燃物品等）；</w:t>
      </w:r>
    </w:p>
    <w:p w14:paraId="247219E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（4）确定所需的火灾应急救援处置技术和专家；</w:t>
      </w:r>
    </w:p>
    <w:p w14:paraId="78EE6DA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（5）明确火灾发生区域的周围环境；</w:t>
      </w:r>
    </w:p>
    <w:p w14:paraId="656176F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（6）确定周围区域存在的重大危险源分布情况；</w:t>
      </w:r>
    </w:p>
    <w:p w14:paraId="1127AFE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（7）确定火灾扑救的基本方法；</w:t>
      </w:r>
    </w:p>
    <w:p w14:paraId="597B470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（8）确定火灾可能导致的后果；</w:t>
      </w:r>
    </w:p>
    <w:p w14:paraId="6A351B1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（9）确定火灾可能导致的后果对周围区域的可能影响规模和程度；</w:t>
      </w:r>
    </w:p>
    <w:p w14:paraId="7002758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（10）火灾可能导致后果的主要控制措施（控制火灾蔓延、人员疏散、医疗救护等）；</w:t>
      </w:r>
    </w:p>
    <w:p w14:paraId="454F80D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（11）可能需要调动的应急救援力量。</w:t>
      </w:r>
    </w:p>
    <w:p w14:paraId="553CD0FB">
      <w:pPr>
        <w:pStyle w:val="7"/>
        <w:bidi w:val="0"/>
        <w:rPr>
          <w:b/>
          <w:bCs/>
          <w:color w:val="auto"/>
        </w:rPr>
      </w:pPr>
      <w:r>
        <w:rPr>
          <w:rFonts w:hint="eastAsia"/>
          <w:b/>
          <w:bCs/>
          <w:color w:val="auto"/>
          <w:lang w:val="en-US" w:eastAsia="zh-CN"/>
        </w:rPr>
        <w:t>4.</w:t>
      </w:r>
      <w:r>
        <w:rPr>
          <w:b/>
          <w:bCs/>
          <w:color w:val="auto"/>
        </w:rPr>
        <w:t>爆炸事故现场应急处置</w:t>
      </w:r>
    </w:p>
    <w:p w14:paraId="2300AAE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（1）确定爆炸地点；</w:t>
      </w:r>
    </w:p>
    <w:p w14:paraId="677B873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（2）确定爆炸类型；</w:t>
      </w:r>
    </w:p>
    <w:p w14:paraId="48AF27D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（3）确定引起爆炸的物质类别（气体、液体、固体）；</w:t>
      </w:r>
    </w:p>
    <w:p w14:paraId="64446E5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（4）确定所需的爆炸应急救援处置技术和专家；</w:t>
      </w:r>
    </w:p>
    <w:p w14:paraId="1E6419A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（5）明确爆炸发生地的周围环境；</w:t>
      </w:r>
    </w:p>
    <w:p w14:paraId="7152C93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（6）确定周围区域存在的重大危险源分布情况；</w:t>
      </w:r>
    </w:p>
    <w:p w14:paraId="7A2059F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（7）确定爆炸可能导致的后果，如火灾和二次爆炸等；</w:t>
      </w:r>
    </w:p>
    <w:p w14:paraId="34C661A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（8）确定爆炸可能导致后果的主要控制措施，如二次爆炸控制手段、工程抢险、人员疏散和医疗救护等；</w:t>
      </w:r>
    </w:p>
    <w:p w14:paraId="783C45D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（9）可能需要调动的应急救援力量。</w:t>
      </w:r>
    </w:p>
    <w:p w14:paraId="1F722EEB">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5.</w:t>
      </w:r>
      <w:r>
        <w:rPr>
          <w:rFonts w:eastAsia="仿宋"/>
          <w:b/>
          <w:color w:val="auto"/>
          <w:sz w:val="28"/>
          <w:szCs w:val="28"/>
        </w:rPr>
        <w:t>易燃易爆或有毒物质泄漏事故应急处置</w:t>
      </w:r>
    </w:p>
    <w:p w14:paraId="3BB312D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（1）确定泄漏源的位置；</w:t>
      </w:r>
    </w:p>
    <w:p w14:paraId="5BE665F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（2）确定泄漏的化学品种类（易燃、易爆或有毒物质）；</w:t>
      </w:r>
    </w:p>
    <w:p w14:paraId="12288FE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（3）所需的泄漏应急救援处置技术和专家；</w:t>
      </w:r>
    </w:p>
    <w:p w14:paraId="0039164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（4）确定泄漏源的周围环境（环境功能区、人口密度等）；</w:t>
      </w:r>
    </w:p>
    <w:p w14:paraId="6907DE1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（5）确定是否已有泄漏物质进入大气、附近水源、下水道等场所；</w:t>
      </w:r>
    </w:p>
    <w:p w14:paraId="6B26B81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（6）确定周围区域存在的重大危险源分布情况；</w:t>
      </w:r>
    </w:p>
    <w:p w14:paraId="76C3F9C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（7）确定泄漏时间或预计持续时间；</w:t>
      </w:r>
    </w:p>
    <w:p w14:paraId="6E15651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（8）实际或估算的泄漏量；</w:t>
      </w:r>
    </w:p>
    <w:p w14:paraId="1D88893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（9）气象信息；</w:t>
      </w:r>
    </w:p>
    <w:p w14:paraId="78A0AFB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（10）泄漏扩散趋势预测；</w:t>
      </w:r>
    </w:p>
    <w:p w14:paraId="1DDCBAA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（11）明确泄漏可能导致的后果（泄漏是否可能引起火灾、爆炸、中毒等后果）；</w:t>
      </w:r>
    </w:p>
    <w:p w14:paraId="372AD21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（12）明确泄漏可能危及周围环境的可能性；</w:t>
      </w:r>
    </w:p>
    <w:p w14:paraId="586F93A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（13）明确泄漏可能导致后果的主要控制措施（堵漏、工程抢险、人员疏散、医疗救护等）；</w:t>
      </w:r>
    </w:p>
    <w:p w14:paraId="5DD418A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（14）明确可能需要调动的应急救援力量。</w:t>
      </w:r>
    </w:p>
    <w:p w14:paraId="3051CA97">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6.</w:t>
      </w:r>
      <w:r>
        <w:rPr>
          <w:rFonts w:eastAsia="仿宋"/>
          <w:b/>
          <w:color w:val="auto"/>
          <w:sz w:val="28"/>
          <w:szCs w:val="28"/>
        </w:rPr>
        <w:t>易燃液体火灾事故应急处置</w:t>
      </w:r>
    </w:p>
    <w:p w14:paraId="74FEBE5F">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易燃液体通常是贮存在容器内或管道输送中，与气体不同的是，液容器有的密闭、有的敞开，一般都是常压，只有反应器及输送管道内的液体压力较高。液体不管是否着火，如果发生泄漏或者溢出，都将顺着地面流淌或水面飘散，而且易燃液体还有比重和水溶性等涉及能否用水或者普通泡沫扑救问题以及危险性很大的沸溢和喷溅问题，处置要点如下：</w:t>
      </w:r>
    </w:p>
    <w:p w14:paraId="180BCD9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（1）首先应切断火势蔓延的途径，冷却和疏散受火势威胁的密闭容器和可燃物，控制燃烧范围，并积极抢救受伤和被困人员。如有液体流淌时，应筑堤（或用围油栏）拦截飘散流淌的易燃液体或挖沟导流；</w:t>
      </w:r>
    </w:p>
    <w:p w14:paraId="6F087AD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（2）及时了解和掌握着火液体的品名、比重、水溶性以及有无毒害、腐蚀、沸溢、喷溅等危险性，以便采取相应的灭火和防护措施；</w:t>
      </w:r>
    </w:p>
    <w:p w14:paraId="01FF90A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（3）对较大的储罐或流淌火灾，应准确判断着火面积。大面积（&gt;50m</w:t>
      </w:r>
      <w:r>
        <w:rPr>
          <w:rFonts w:eastAsia="仿宋"/>
          <w:color w:val="auto"/>
          <w:sz w:val="28"/>
          <w:szCs w:val="28"/>
          <w:vertAlign w:val="superscript"/>
        </w:rPr>
        <w:t>2</w:t>
      </w:r>
      <w:r>
        <w:rPr>
          <w:rFonts w:eastAsia="仿宋"/>
          <w:color w:val="auto"/>
          <w:sz w:val="28"/>
          <w:szCs w:val="28"/>
        </w:rPr>
        <w:t>）液体火灾则必须根据其相对密度（比重）、水溶性和燃烧面积大小，选择正确的灭火剂扑救。</w:t>
      </w:r>
    </w:p>
    <w:p w14:paraId="76C152B6">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1）比重比水小又不溶于水的液体（如汽油、苯等），用直流水、雾状水灭火往往无效。可用普通泡沫或轻水泡沫扑灭。用干粉扑救时效果要视燃烧面积大小和燃烧条件而定，最好用水冷却罐壁。</w:t>
      </w:r>
    </w:p>
    <w:p w14:paraId="0902A83B">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2）比重比水大而不溶于水的液体（如二硫化碳）起火时可用水扑救，水能覆盖在液面上灭火；用泡沫也有效；用干粉扑救时要视燃烧面积大小和燃烧条件而定，最好用水冷却罐壁，降低燃烧强度。</w:t>
      </w:r>
    </w:p>
    <w:p w14:paraId="48C4DE26">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3）具有水溶性的液体（如醇类、酮类等），虽然从理论上讲能用水稀释扑救，但用此法要使液体闪点消失，水必须在溶液中占很大的比例，这不仅需要大量水，也容易使液体溢出流淌；而普通泡沫又会受到水溶液体的破坏（如果普通泡沫强度加大，可用减弱火势）。因此，最好用抗溶性泡沫扑救，用干粉扑救时，灭火效果要视燃烧面积大小和燃烧条件而定，也需用水冷却罐壁，降低燃烧强度。</w:t>
      </w:r>
    </w:p>
    <w:p w14:paraId="2DF8551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扑救毒害性、腐蚀性或燃烧产物毒害性较强的易燃液体火灾，扑救人员必须佩带防护面具，采取防护措施。对待特殊物品的火灾，应使用专用防护服，考虑到过滤式防毒面具防毒范围的局限性，在扑救毒害品火灾时应尽量使用隔绝式空气面具。为了在火场上能正确使用和适应，平时应进行严格的适应性训练。</w:t>
      </w:r>
    </w:p>
    <w:p w14:paraId="2CD5FD7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扑救原油等具有沸溢和喷溅危险的液体火灾，必须注意计算可能发生沸溢、喷溅的时间和观察是否有沸溢、喷溅的征兆。一旦现场指挥发现危险征兆时应迅速作出准确判断，及时下达撤退命令，避免造成人员伤亡和装备损失。扑救人员看到或者听到统一撤退信号后，应立即撤至安全地带。</w:t>
      </w:r>
    </w:p>
    <w:p w14:paraId="33E7BA6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遇易燃液体管道或者贮罐泄漏着火，在切断蔓延方向并把火势限制在上定范围内的同时，对输送管道应设法找到并关闭进、出阀门，如果管道阀门已损坏或是贮罐泄漏，应迅速准备好堵漏物料。然后，先用泡沫、干粉、二氧化碳或雾状水等扑灭地上的流淌火焰，为堵漏扫清障碍；其次再扑灭泄漏口的火焰，并迅速采取堵漏措施。与气体堵漏不同的是，液体一次堵漏失败，可连续堵漏几次，只要用泡沫覆盖地面，并堵住液体流淌和控制好周围着火源，不必点燃泄漏口的液体。</w:t>
      </w:r>
    </w:p>
    <w:p w14:paraId="7B0CC4A8">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7.</w:t>
      </w:r>
      <w:r>
        <w:rPr>
          <w:rFonts w:eastAsia="仿宋"/>
          <w:b/>
          <w:color w:val="auto"/>
          <w:sz w:val="28"/>
          <w:szCs w:val="28"/>
        </w:rPr>
        <w:t>压缩气体和液化气体火灾事故应急处置</w:t>
      </w:r>
    </w:p>
    <w:p w14:paraId="20E2A0B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气体火灾切忌盲目灭火，即使在扑救周围火势以及冷却过程中不小心把泄漏处的火焰扑灭，在没有采取堵漏措施的情况下，也必须立即用长点火棒将气体点燃，使其恢复稳定燃烧；否则，大量可燃气体泄漏出来与空气混合，遇明火就会发生爆炸，后果将不堪设想。处置要点如下：</w:t>
      </w:r>
    </w:p>
    <w:p w14:paraId="4655460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（1）首先应扑灭外围被火源引燃的可燃物火势，切断火势蔓延途径，控制燃烧范围，并积极抢救受伤和被困人员；</w:t>
      </w:r>
    </w:p>
    <w:p w14:paraId="0853801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如果火势中有压力容器或有受到火焰辐射热威胁的压力容器，能疏散的应尽量在水枪的掩护下疏散到安全地带，不能疏散的应部署足够的水枪进行冷却保护；为防止容器爆裂伤人，进行冷却的人员应尽量采取低姿射水或利用现场坚实的掩蔽体防护；对卧式储罐，冷却人员应选择储罐四侧角作为射水阵地；</w:t>
      </w:r>
    </w:p>
    <w:p w14:paraId="521491D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（3）如果是输气管道泄漏着火，应首先设法找到气源阀门；阀门完好时，只要关闭气体阀门，火势会自动熄灭；</w:t>
      </w:r>
    </w:p>
    <w:p w14:paraId="5D2369A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（4）储罐或管道关闭无效时，应根据火势大小判断气体压力和泄漏口的大气及其形状，准备好相应的堵漏材料（如软木塞、橡皮塞、气囊塞、黏合剂、弯道工具等）；</w:t>
      </w:r>
    </w:p>
    <w:p w14:paraId="4E48530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（5）堵漏工作准备就绪后，即可用水扑救火势，也可用干粉、二氧化碳灭火，但仍需用水冷却烧烫的罐或者管壁；火扑灭后，应立即用堵漏材料堵漏，同时用雾状水稀释和驱散泄漏出来的气体；</w:t>
      </w:r>
    </w:p>
    <w:p w14:paraId="7ACF28A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一般情况下完成了堵漏也就完成了灭火工作，但有时一次堵漏不一定成功，如果一次堵漏失败，再次堵漏需一定时间，应立即用长点火棒将泄漏处点燃，使其恢复稳定燃烧，以防止较长时间泄漏出来的大量可燃气体与空气混合后形成爆炸性混合物，从而存在发生爆炸的危险，并准备再次堵漏灭火；</w:t>
      </w:r>
    </w:p>
    <w:p w14:paraId="4C5B370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（7）如果确认泄漏口很大，根本无法堵漏，只需冷却着火容器及其周围容器和可燃物品，控制着火范围，一直到燃气燃尽，火势自动熄灭；</w:t>
      </w:r>
    </w:p>
    <w:p w14:paraId="58A47EE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8）现场指挥应密切注意各种危险征兆，遇有火势熄灭后较长时间未能恢复稳定燃烧或者受热辐射的容器安全阀火焰变亮耀眼、尖叫、晃动等爆炸征兆时，指挥员必须适时作出准确判断，及时下达撤退命令。现场人员看到或者听到事先规定的撤退信号后，应迅速撤离至安全地带；</w:t>
      </w:r>
    </w:p>
    <w:p w14:paraId="0F1C1122">
      <w:pPr>
        <w:adjustRightInd w:val="0"/>
        <w:snapToGrid w:val="0"/>
        <w:spacing w:line="360" w:lineRule="auto"/>
        <w:ind w:left="0" w:firstLine="560" w:firstLineChars="200"/>
        <w:rPr>
          <w:rFonts w:eastAsia="仿宋"/>
          <w:b/>
          <w:color w:val="auto"/>
          <w:sz w:val="28"/>
          <w:szCs w:val="28"/>
        </w:rPr>
      </w:pPr>
      <w:r>
        <w:rPr>
          <w:rFonts w:eastAsia="仿宋"/>
          <w:color w:val="auto"/>
          <w:sz w:val="28"/>
          <w:szCs w:val="28"/>
        </w:rPr>
        <w:t>（9）气体储罐或者管道阀门处泄漏着火时，在特殊情况下，只要判断阀门还有效，也可违反常规，先扑灭火势，再关闭阀门。一旦发现阀门关闭已无效，一时又无法堵漏时，应立即点燃，恢复稳定燃烧。</w:t>
      </w:r>
    </w:p>
    <w:p w14:paraId="010A2F75">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8.</w:t>
      </w:r>
      <w:r>
        <w:rPr>
          <w:rFonts w:eastAsia="仿宋"/>
          <w:b/>
          <w:color w:val="auto"/>
          <w:sz w:val="28"/>
          <w:szCs w:val="28"/>
        </w:rPr>
        <w:t>油类管道突发环境事件应急处置</w:t>
      </w:r>
    </w:p>
    <w:p w14:paraId="1BB0841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采取拦截、围挡、导流等措施防止油污染蔓延扩散。针对油类泄漏场地污染、地表水污染，采取挖建集油池、构筑拦截坝等措施开展应急处置。针对管道火灾爆炸事故，做好有毒有害物质和消防废水、废液等的收集、清理和安全处置，防范次生污染。</w:t>
      </w:r>
    </w:p>
    <w:p w14:paraId="651AEB5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（1）油污染场地事故应急处置</w:t>
      </w:r>
    </w:p>
    <w:p w14:paraId="5782963D">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1）收集泄漏油品</w:t>
      </w:r>
    </w:p>
    <w:p w14:paraId="117F316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根据管道油品泄漏位置与泄漏量，在油品泄漏的下游低洼处，修筑集油池同时开挖导油沟，将泄漏油品汇集至集油池中，用防爆泵或真空抽油机对油品进行回收。集油池和导油沟内应敷设防渗塑料布。</w:t>
      </w:r>
    </w:p>
    <w:p w14:paraId="48A414D9">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2）清运处置污染土壤</w:t>
      </w:r>
    </w:p>
    <w:p w14:paraId="1872D21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彻底挖掘和收集被泄漏油品污染的土壤，委托具有相关资质的单位进行安全处置。</w:t>
      </w:r>
    </w:p>
    <w:p w14:paraId="287AE8C3">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3）污染土壤修复</w:t>
      </w:r>
    </w:p>
    <w:p w14:paraId="342D3F3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针对油污染后的场地土壤，在应急救援工作结束后，可委托专业机构进行修复处理，常用的修复方法有物理修复、化学修复、生物修复和联合修复。根据油品污染的特点选择合适的修复方式。</w:t>
      </w:r>
    </w:p>
    <w:p w14:paraId="740C2739">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4）地下水污染修复</w:t>
      </w:r>
    </w:p>
    <w:p w14:paraId="605F32C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针对受油污染的地下水的修复，可在应急救援工作结束后，委托专业机构进行修复处理，常用的修复方法有原位修复和异位修复。根据油品污染的特点和场地地质特点选择合适的修复方式。</w:t>
      </w:r>
    </w:p>
    <w:p w14:paraId="36ADC9E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（2）油污染地表水事故应急处置</w:t>
      </w:r>
    </w:p>
    <w:p w14:paraId="44425BF8">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1）闸坝调控</w:t>
      </w:r>
    </w:p>
    <w:p w14:paraId="448281B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当发现管道油品泄漏时，应充分利用河道上的闸门，控制好水位，做好溢油回收；</w:t>
      </w:r>
    </w:p>
    <w:p w14:paraId="5DA5783A">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a.控制好溢油逃逸路线上河流相关水闸，包括管道泄漏点上游的水闸，根据上游来水量合理控制，即保证水位不漫过水闸导致溢油下泄，又不因为放水过多致使收油工作艰难；</w:t>
      </w:r>
    </w:p>
    <w:p w14:paraId="02B10DDA">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b.尽可能关闭所有向溢油逃逸河流汇集的其他河流上的水闸，在水系发达地区，可通过关闸倒闸等分流水量，降低流速，缓解收油压力；</w:t>
      </w:r>
    </w:p>
    <w:p w14:paraId="619EF3AD">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c.在无水闸的河流上，可采用筑坝措施，对不重要的河流筑坝闸死。</w:t>
      </w:r>
    </w:p>
    <w:p w14:paraId="2984A31B">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2）筑坝拦截</w:t>
      </w:r>
    </w:p>
    <w:p w14:paraId="6E92340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泄漏油品进入沟渠、小溪、河流等水域后，可采取筑坝方式进行拦截。按照坝体结构与适用情况，拦截坝分为实体坝和控制坝；按照坝体材料，可分为草垛坝、沙土坝和活性炭坝。</w:t>
      </w:r>
    </w:p>
    <w:p w14:paraId="1B2098AA">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a.沟渠、小溪构筑实体坝拦截：若沟渠、小溪内无水，直接在漏油点下游低洼处筑实体坝将沟渠、小溪闸死。在泄漏点附近若有废弃的坑矿或更大的干涸沟渠等，同时开挖导油沟至此存油。还应根据泄漏点及两侧的高差，估算可能泄漏的油量。集油坑和导油沟内应敷设防渗塑料布。</w:t>
      </w:r>
    </w:p>
    <w:p w14:paraId="26B3939F">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b.沟渠、小溪构筑控制坝拦截：若沟渠、小溪有水，当水面宽度不大于10m的沟渠、小溪及河流时，在管道泄漏初始，专用抢险物资到来之前，应以草垛为原料构筑草垛坝进行拦截。当河流、沟渠及小溪的水面宽度在20m以下时，应在泄漏点下游低洼处或管道泄漏处筑控制坝（堰）。泄漏点周围若有废弃的坑矿或更大的干涸沟渠等，同时开挖导油沟至此存油。集油坑和导油沟内应敷设防渗塑料布。</w:t>
      </w:r>
    </w:p>
    <w:p w14:paraId="0D486B6C">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c.沟渠、河流附近发生泄漏的围堵：若管道在离沟渠、小溪及河流等水域较远的地方发生泄漏，应首先考虑地形地势，在地势低洼处且易流向附近沟渠、小溪或河流的部位砌筑实体坝，坝体高度不宜小于1.5m。同时，在远离水域的部位挖集油坑和导油沟，集油坑和导油沟内应敷设防渗塑料布。坝体材料宜就地取材，夯实坚固。集油坑及实体坝围起来的容积应能满足油品泄漏量在油槽车到来之前的存放。</w:t>
      </w:r>
    </w:p>
    <w:p w14:paraId="3E35876C">
      <w:pPr>
        <w:adjustRightInd w:val="0"/>
        <w:snapToGrid w:val="0"/>
        <w:spacing w:line="360" w:lineRule="auto"/>
        <w:ind w:left="0" w:firstLine="840" w:firstLineChars="300"/>
        <w:rPr>
          <w:rFonts w:eastAsia="仿宋"/>
          <w:color w:val="auto"/>
          <w:sz w:val="28"/>
          <w:szCs w:val="28"/>
        </w:rPr>
      </w:pPr>
      <w:r>
        <w:rPr>
          <w:rFonts w:eastAsia="仿宋"/>
          <w:color w:val="auto"/>
          <w:sz w:val="28"/>
          <w:szCs w:val="28"/>
        </w:rPr>
        <w:t>3）围油栏拦截</w:t>
      </w:r>
    </w:p>
    <w:p w14:paraId="3382589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泄漏油品进入水面较宽的河流后，应采用围油栏进行拦截收油工作。围油栏种类一般有篱笆式和窗帘式，窗帘式围油栏又分为固体浮子、充气浮子和岸滩型围油栏。篱笆式围油栏由浮子、镇重、锚链及栏裙组成，此种围油栏抗垃圾杂物能力强，适用于平静水面的河流。</w:t>
      </w:r>
    </w:p>
    <w:p w14:paraId="64F0CB1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河流中拦截漏油应准备的物资有围油栏。围油栏主要由主框架、浮体、连接框、拖网组成，拖网和框架可分离，收满时可更换拖网。围油栏使用于拦截漂浮在水面上的高倾点原油（固状油块）、焦油球、吸油材料或固体垃圾。</w:t>
      </w:r>
    </w:p>
    <w:p w14:paraId="3F78423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4）泄漏油品收集</w:t>
      </w:r>
    </w:p>
    <w:p w14:paraId="1AC9488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熟练掌握收油设备、机具和物资的属性，并与现场实际有机结合，将泄漏油品及其所污染的水、固体杂质等收纳至安全的地方。</w:t>
      </w:r>
    </w:p>
    <w:p w14:paraId="7BD12FB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a.泵。适用于倒运或回收陆上被围堵在一定范围内，相对量较大、较集中的泄漏油品。采用可对原油、成品油、含油泥浆等进行作业的防爆型泵类，具体应结合泄漏油品的物理特性（粘度、挥发性等）选择适合参数的泵及其附件。</w:t>
      </w:r>
    </w:p>
    <w:p w14:paraId="3911A7C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选择可直接利用或易于现场修筑的地方，便于泵类及其配套设备、装运泄漏油品的容器进出现场作业，合理布放作业面和收油设备。应综合考虑油罐车、轻便储油罐或储油囊的位置、泵的吸程是否满足、泵吸入口是否能将大多数油品倒空到该处、是否存在即使经过现场修筑也无法将油品直接泵入罐车，需要多台泵、罐接力倒运装车等各种因素。</w:t>
      </w:r>
    </w:p>
    <w:p w14:paraId="2FA0A7F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对于泄漏量较大、水面上的油层厚度大于3cm的现场回收，可在岸边再挖一个集油坑，将水面上的油品直接引入坑内，引流渠的沟底高度与水面平齐。将集油坑内的油品直接用泵排油入罐。</w:t>
      </w:r>
    </w:p>
    <w:p w14:paraId="74D2936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b.吸油栏、吸油毡联合吸油。在油层较薄、收油机回收效果不好的时候，应考虑采用吸油毡和吸油栏进行吸附，设置的吸附点应优先考虑有桥梁的河段，亦可利用围油栏制造静水区，在上游投放吸油毡，增大吸收效果且便于打捞，吸油毡和吸油栏按照固体废物的处理方法处置。</w:t>
      </w:r>
    </w:p>
    <w:p w14:paraId="2010094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c.凝油剂。在静水、油层薄和相对面积较小的区域，宜选择采用凝油剂进行油品回收。同时采用船只和吸油栏配合作业。</w:t>
      </w:r>
    </w:p>
    <w:p w14:paraId="23EB566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5）残油清理</w:t>
      </w:r>
    </w:p>
    <w:p w14:paraId="65BFB0A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a.消油剂结合活性炭坝清油。在桥上或水闸上游人工抛撒消油剂处理残余油花。消油剂的使用应严格遵守国家有关法规。同时在桥上或水闸下游适当河段修筑活性炭坝，以进一步提高油品清理效果。</w:t>
      </w:r>
    </w:p>
    <w:p w14:paraId="63B46BA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b.燃烧或焚烧。使用便携式多用途焚化炉处理少量的固体油污物。大量的固体油污物运至化工垃圾场焚烧处理。对于水面油品不易回收时，使用耐火围油栏将油品圈围至水流平稳且周边环境空旷的河段点燃。燃烧法相对其他油品回收方法能较好的保护环境且费用较低。</w:t>
      </w:r>
    </w:p>
    <w:p w14:paraId="13AD921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c.河道清理及拦截点依次撤除。在确定油品泄漏抢修完成之后，依次从油品入河点沿河岸两侧清理残留在土体和植物上的油污。拦截点也依次从上游向下游撤除，最后一个拦截点在上游全部清理完毕符合要求后，再予撤除。</w:t>
      </w:r>
    </w:p>
    <w:p w14:paraId="55212AB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d.细菌降解。对清理完的河道和土地，可委托专业机构采用生物降解的方法进一步净化水中的残余油污。</w:t>
      </w:r>
    </w:p>
    <w:p w14:paraId="70733E97">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9.</w:t>
      </w:r>
      <w:r>
        <w:rPr>
          <w:rFonts w:eastAsia="仿宋"/>
          <w:b/>
          <w:color w:val="auto"/>
          <w:sz w:val="28"/>
          <w:szCs w:val="28"/>
        </w:rPr>
        <w:t>水环境污染应急处置</w:t>
      </w:r>
    </w:p>
    <w:p w14:paraId="4F032A6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（1）确定废水泄漏发生的位置、引发泄漏的原因，明确附近河流、水体的位置及距离；</w:t>
      </w:r>
    </w:p>
    <w:p w14:paraId="0185D86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（2）污水截留，开启事故池收集。立即用沙包封堵装置暗沟排水口及装置明沟出水口，让事故污水截留在围堰内；没有围堰的，有条件时，设置临时围堤收集泄漏物料和污水；</w:t>
      </w:r>
    </w:p>
    <w:p w14:paraId="32056F1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（3）污水监控。启动应急监测，严密监控污水流向和污水浓度，防止污水流入外排废水管道系统；</w:t>
      </w:r>
    </w:p>
    <w:p w14:paraId="32E186E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（4）如事故池失控，根据情况外围增设围堰；</w:t>
      </w:r>
    </w:p>
    <w:p w14:paraId="44CFF9C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（5）如果事故水池和雨水收集池不能满足废水的储存，将要污染外界环境，按照如下方法处置：</w:t>
      </w:r>
    </w:p>
    <w:p w14:paraId="168872D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1）污水截留</w:t>
      </w:r>
      <w:r>
        <w:rPr>
          <w:rFonts w:hint="eastAsia" w:eastAsia="仿宋"/>
          <w:color w:val="auto"/>
          <w:sz w:val="28"/>
          <w:szCs w:val="28"/>
        </w:rPr>
        <w:t>或拦截</w:t>
      </w:r>
    </w:p>
    <w:p w14:paraId="4CF4845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立即用沙包封堵暗沟排水口及明沟出水口，设置临时围堤收集污水。具体方法如下：现场处置组将沙石混泥装入编织袋。以排污口为中心，设置半径为10m，高度为1.5m的拦水围堰，对排水进行暂存，增加排水在围堰中的存放时间</w:t>
      </w:r>
      <w:r>
        <w:rPr>
          <w:rFonts w:hint="eastAsia" w:eastAsia="仿宋"/>
          <w:color w:val="auto"/>
          <w:sz w:val="28"/>
          <w:szCs w:val="28"/>
        </w:rPr>
        <w:t>。</w:t>
      </w:r>
    </w:p>
    <w:p w14:paraId="694420D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若污水溢流到附近农地时，应挖坑或启用洼地收集污水，如果有条件铺设塑料布防渗避免大面积污染。</w:t>
      </w:r>
      <w:r>
        <w:rPr>
          <w:rFonts w:hint="eastAsia" w:eastAsia="仿宋"/>
          <w:color w:val="auto"/>
          <w:sz w:val="28"/>
          <w:szCs w:val="28"/>
        </w:rPr>
        <w:t>若发现事故时，污染物已经地表径流或沿雨水管道进入地表水体，则需</w:t>
      </w:r>
      <w:r>
        <w:rPr>
          <w:rFonts w:eastAsia="仿宋"/>
          <w:color w:val="auto"/>
          <w:sz w:val="28"/>
          <w:szCs w:val="28"/>
        </w:rPr>
        <w:t>立即筑坝拦截污水，如果已污染的区域较长，应多设置几个拦截坝</w:t>
      </w:r>
      <w:r>
        <w:rPr>
          <w:rFonts w:hint="eastAsia" w:eastAsia="仿宋"/>
          <w:color w:val="auto"/>
          <w:sz w:val="28"/>
          <w:szCs w:val="28"/>
        </w:rPr>
        <w:t>或截留坝。</w:t>
      </w:r>
    </w:p>
    <w:p w14:paraId="4C9BF78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2）污水处置</w:t>
      </w:r>
    </w:p>
    <w:p w14:paraId="3714323C">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依据额尔古纳市危险化学品种类和理化性质，可能进入地表水体的污染物可分为酸碱污染物、有机污染物和重金属三大类。对于酸、碱污染，可采用中和法处理；对于有机污染，可</w:t>
      </w:r>
      <w:r>
        <w:rPr>
          <w:rFonts w:eastAsia="仿宋"/>
          <w:color w:val="auto"/>
          <w:sz w:val="28"/>
          <w:szCs w:val="28"/>
        </w:rPr>
        <w:t>使用吸油棉等将水中的油类</w:t>
      </w:r>
      <w:r>
        <w:rPr>
          <w:rFonts w:hint="eastAsia" w:eastAsia="仿宋"/>
          <w:color w:val="auto"/>
          <w:sz w:val="28"/>
          <w:szCs w:val="28"/>
        </w:rPr>
        <w:t>等</w:t>
      </w:r>
      <w:r>
        <w:rPr>
          <w:rFonts w:eastAsia="仿宋"/>
          <w:color w:val="auto"/>
          <w:sz w:val="28"/>
          <w:szCs w:val="28"/>
        </w:rPr>
        <w:t>污染物</w:t>
      </w:r>
      <w:r>
        <w:rPr>
          <w:rFonts w:hint="eastAsia" w:eastAsia="仿宋"/>
          <w:color w:val="auto"/>
          <w:sz w:val="28"/>
          <w:szCs w:val="28"/>
        </w:rPr>
        <w:t>组分</w:t>
      </w:r>
      <w:r>
        <w:rPr>
          <w:rFonts w:eastAsia="仿宋"/>
          <w:color w:val="auto"/>
          <w:sz w:val="28"/>
          <w:szCs w:val="28"/>
        </w:rPr>
        <w:t>吸收；再投加一定量的活性炭包吸附水中</w:t>
      </w:r>
      <w:r>
        <w:rPr>
          <w:rFonts w:hint="eastAsia" w:eastAsia="仿宋"/>
          <w:color w:val="auto"/>
          <w:sz w:val="28"/>
          <w:szCs w:val="28"/>
        </w:rPr>
        <w:t>的</w:t>
      </w:r>
      <w:r>
        <w:rPr>
          <w:rFonts w:eastAsia="仿宋"/>
          <w:color w:val="auto"/>
          <w:sz w:val="28"/>
          <w:szCs w:val="28"/>
        </w:rPr>
        <w:t>污染物。然后，以最快的速度用罐车转移进行处理。对无法收集的残留污水经稀释、吸油、活性炭吸附等手段进行处置，处置后残留的固体废物按照危险固体废弃物进行处置。</w:t>
      </w:r>
      <w:r>
        <w:rPr>
          <w:rFonts w:hint="eastAsia" w:eastAsia="仿宋"/>
          <w:color w:val="auto"/>
          <w:sz w:val="28"/>
          <w:szCs w:val="28"/>
        </w:rPr>
        <w:t>对于重金属类污染物，可根据重金属的理化性质，向水体中投加石灰或硫化物通过化学沉淀法净化去除，而后再投加足量活性炭吸附去除水中残留的重金属。</w:t>
      </w:r>
    </w:p>
    <w:p w14:paraId="473D16AA">
      <w:pPr>
        <w:adjustRightInd w:val="0"/>
        <w:snapToGrid w:val="0"/>
        <w:spacing w:line="360" w:lineRule="auto"/>
        <w:ind w:left="0" w:firstLine="560" w:firstLineChars="200"/>
        <w:rPr>
          <w:rFonts w:hint="eastAsia" w:eastAsia="仿宋"/>
          <w:color w:val="auto"/>
          <w:sz w:val="28"/>
          <w:szCs w:val="28"/>
        </w:rPr>
      </w:pPr>
      <w:r>
        <w:rPr>
          <w:rFonts w:hint="eastAsia" w:eastAsia="仿宋"/>
          <w:color w:val="auto"/>
          <w:sz w:val="28"/>
          <w:szCs w:val="28"/>
        </w:rPr>
        <w:t>水体受到重金属污染，如根河水系受到诚诚矿业有限公司所排含重金属废水的污染后，需由呼伦贝尔市突发环境事件应急指挥部立即启动I</w:t>
      </w:r>
      <w:r>
        <w:rPr>
          <w:rFonts w:eastAsia="仿宋"/>
          <w:color w:val="auto"/>
          <w:sz w:val="28"/>
          <w:szCs w:val="28"/>
        </w:rPr>
        <w:t>I</w:t>
      </w:r>
      <w:r>
        <w:rPr>
          <w:rFonts w:hint="eastAsia" w:eastAsia="仿宋"/>
          <w:color w:val="auto"/>
          <w:sz w:val="28"/>
          <w:szCs w:val="28"/>
        </w:rPr>
        <w:t>级响应；受到酸碱污染和有机污染后需依据事件的影响范围和程度确定等级，并启动相应级别的应急响应。依据污染物的理化性质和迁移、扩散特点，在下游河道中设置多级截留或拦截屏障，通过多级净化处理消除事故对下游流域的影响。</w:t>
      </w:r>
    </w:p>
    <w:p w14:paraId="12B6DEB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3）污水监控</w:t>
      </w:r>
    </w:p>
    <w:p w14:paraId="3E55360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严密监控污水流向和污水浓度，防止污水沿着雨水排水沟外排，开展应急监测，有污染时，警告提示；事故污水收集完毕后，根据监测数据对环境损害进行评估，采取适当修复措施；事故处理过程中污染的土壤按照固体废物的要求进行处理。</w:t>
      </w:r>
    </w:p>
    <w:p w14:paraId="507950C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（6）污水排放得到控制处理后，要“善始善终”，直至全部污水和残余物料得到彻底回收，不得残留污染物在事故现场，事故处理过程中产生的废渣要按照固体废物的要求进行处置。</w:t>
      </w:r>
    </w:p>
    <w:p w14:paraId="4C8D63D7">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10.</w:t>
      </w:r>
      <w:r>
        <w:rPr>
          <w:rFonts w:eastAsia="仿宋"/>
          <w:b/>
          <w:color w:val="auto"/>
          <w:sz w:val="28"/>
          <w:szCs w:val="28"/>
        </w:rPr>
        <w:t>交通事故引发突发环境事件处置</w:t>
      </w:r>
    </w:p>
    <w:p w14:paraId="1254885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接到报警后，应急指挥部迅速组织救援组织力量并携带必要的应急物资前往事故地点协助救援。</w:t>
      </w:r>
    </w:p>
    <w:p w14:paraId="7159916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（1）设定区域和疏散</w:t>
      </w:r>
    </w:p>
    <w:p w14:paraId="18ACF35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建立核心区、波及区、警戒区，实施必要的交通管制和交通疏导。根据储量、泄漏程度、地形、气象等，对泄漏影响范围进行评估，在距离泄漏点至少半径800m范围内实行全面戒严，划出警戒线，设立明显标志。疏散无关人员，以各种方式和手段通知核心区、波及区、警戒区内的周边人员向上风向迅速撤离，对以上区域内的幼儿园、学校、商场等公众聚集场所应重点组织有序疏散。实施交通管制，禁止一切车辆和无关人员进入核心区、波及区。</w:t>
      </w:r>
    </w:p>
    <w:p w14:paraId="1232236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（2）消除火种</w:t>
      </w:r>
    </w:p>
    <w:p w14:paraId="6F390AE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立即在核心区、波及区、警戒区内停电、停火，灭绝一切可能引发火灾和爆炸的火种。进入核心区将地面喷湿，以防止摩擦、撞击产生火花，进入核心区的车辆应有防护措施。</w:t>
      </w:r>
    </w:p>
    <w:p w14:paraId="54C30E6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（3）泄漏处置</w:t>
      </w:r>
    </w:p>
    <w:p w14:paraId="509E211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在保证安全的情况下堵漏，避免液体漏出。</w:t>
      </w:r>
    </w:p>
    <w:p w14:paraId="01C8791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（4）火灾扑救</w:t>
      </w:r>
    </w:p>
    <w:p w14:paraId="3004464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选择正确的灭火剂进行灭火，适当的时候对运输车的罐体进行降温。</w:t>
      </w:r>
    </w:p>
    <w:p w14:paraId="5FFBD19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（5）泄漏物及消防废水处置</w:t>
      </w:r>
    </w:p>
    <w:p w14:paraId="67075ED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如果泄漏或者火灾发生在桥上，迅速用沙袋围堵泄漏物，然后进行收集。如果无法围堵则通过雨水收集管网进入桥梁设计的应急池，根据泄漏物的酸碱特性，首先进行中和，然后用自吸罐车拉走进行无害化处理。对不能收集的泄漏物，通过加水稀释、吸油、活性炭吸附等方法进行处置。处置残留的固体废弃物按照危险固体废弃物进行处置。</w:t>
      </w:r>
    </w:p>
    <w:p w14:paraId="1E9CAF7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如果泄漏或者火灾发生在普通路面上，迅速用人力或者机械在路基旁边挖坑并铺上塑料布收集，根据泄漏物的酸碱特性，首先进行中和，然后用自吸罐车拉走进行无害化处理。对不能收集的泄漏物，通过加水稀释、吸油、活性炭吸附等方法进行处置。处置残留的固体废弃物按照危险固体废弃物进行处置。</w:t>
      </w:r>
    </w:p>
    <w:p w14:paraId="3099AEC1">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11.</w:t>
      </w:r>
      <w:r>
        <w:rPr>
          <w:rFonts w:eastAsia="仿宋"/>
          <w:b/>
          <w:color w:val="auto"/>
          <w:sz w:val="28"/>
          <w:szCs w:val="28"/>
        </w:rPr>
        <w:t>放射源环境事件应急处置</w:t>
      </w:r>
    </w:p>
    <w:p w14:paraId="7AE3115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（1）发生放射源丢失、被盗和泄漏事故</w:t>
      </w:r>
    </w:p>
    <w:p w14:paraId="26272A9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1）发生丢失、被盗和泄漏事故应立即撤离有关工作人员，封锁现场，切断一切可能扩大污染范围的环节，迅速开展检测，严防对食物及水源的污染，污染现场尚未达到安全水平以前，不得解除封锁。</w:t>
      </w:r>
    </w:p>
    <w:p w14:paraId="139E1CF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迅速确定放射性同位素种类、活度、污染范围和污染程度，对可能受放射性同位素污染或者损伤人员，立即采取暂时隔离和应急救援措施。在采取有效个人安全防护措施的情况下，组织人员彻底清除污染并根据需要实施其他医院救治及处理措施。</w:t>
      </w:r>
    </w:p>
    <w:p w14:paraId="7E5B579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接到有残余辐射的汇报后，立即命令封锁现场，实行现场警戒；同时综合协调组疏散引导做好道路管制，保障救援车辆、人员的通行，控制非抢险救援人员进入事故现场；按照应急指挥部的指令组织相关人员疏散至安全地带；</w:t>
      </w:r>
    </w:p>
    <w:p w14:paraId="58023FB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4）应急专家组为事故处理提供协助；</w:t>
      </w:r>
    </w:p>
    <w:p w14:paraId="342BAB6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5）应急救援办公室根据总指挥的命令，向公安局、环境保护局和卫生健康</w:t>
      </w:r>
      <w:r>
        <w:rPr>
          <w:rFonts w:hint="eastAsia" w:eastAsia="仿宋"/>
          <w:color w:val="auto"/>
          <w:sz w:val="28"/>
          <w:szCs w:val="28"/>
          <w:lang w:val="en-US" w:eastAsia="zh-CN"/>
        </w:rPr>
        <w:t>委</w:t>
      </w:r>
      <w:r>
        <w:rPr>
          <w:rFonts w:eastAsia="仿宋"/>
          <w:color w:val="auto"/>
          <w:sz w:val="28"/>
          <w:szCs w:val="28"/>
        </w:rPr>
        <w:t>汇报相关情况；安排安全管理人员做好事故材料的收集工作，为事故调查做准备；</w:t>
      </w:r>
    </w:p>
    <w:p w14:paraId="0A9D444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6）如果有人受到辐射，医疗救护组护送受辐射人员至医院检查；</w:t>
      </w:r>
    </w:p>
    <w:p w14:paraId="5890F8B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7）要做好现场通讯联络工作，做好事故现场内部录像和拍照，以备事故处理的需要；</w:t>
      </w:r>
    </w:p>
    <w:p w14:paraId="7B4081F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8）公安人员到达后，各组相关人员要根据公安人员要求提供相应的资料和证据，协助公安机关查找丢失放射源；</w:t>
      </w:r>
    </w:p>
    <w:p w14:paraId="739FA16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9）如果有新闻媒体来访，由舆情组做好接待工作，对丢失放射源基本情况进行公告和警示，说明其危害性；</w:t>
      </w:r>
    </w:p>
    <w:p w14:paraId="4BDB61A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10）事故调查结束后，做好生产恢复工作。</w:t>
      </w:r>
    </w:p>
    <w:p w14:paraId="0B88BE2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（2）放射性污染或人员超剂量照射事故</w:t>
      </w:r>
    </w:p>
    <w:p w14:paraId="120E813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1）事故发生单位发生放射性污染或人员超剂量照射事故后，立即报告，对事故现场实施警戒，防止无关人员进入污染区域；</w:t>
      </w:r>
    </w:p>
    <w:p w14:paraId="1579026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2）现场处置组穿好防护服进入现场，组织辐射情况的检测，根据检测结果，选定安全场所作为指挥部的位置并树立指挥部标志，同时把辐射检测情况及时汇报；</w:t>
      </w:r>
    </w:p>
    <w:p w14:paraId="4C74B62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根据辐射检测情况，命令综合协调组疏散引导封锁现场，实行现场警戒；同时疏散引导做好道路管制，保障救援车辆、人员的通行，控制非抢险救援人员进入事故现场；按照应急指挥部的指令组织相关人员疏散至安全地带。</w:t>
      </w:r>
    </w:p>
    <w:p w14:paraId="6FE6A9B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4）医疗救护人员对受辐射人员进行救护，送至医院治疗。同时根据情况，决定是否对其他人员进行身体受辐射情况的检查；</w:t>
      </w:r>
    </w:p>
    <w:p w14:paraId="625369B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5）应急专家组提供核放射源的资料，协同环保部门对水、大气等受污染程度进行检测，制定洗消措施。同时把检测结果报告应急指挥部。</w:t>
      </w:r>
    </w:p>
    <w:p w14:paraId="4DC5129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6）应急指挥部根据大气、水受污染程度，安排现场救援组的医护人员协同环保部门对周围环境进行处理，直至污染消除为止。</w:t>
      </w:r>
    </w:p>
    <w:p w14:paraId="0E9308AB">
      <w:pPr>
        <w:adjustRightInd w:val="0"/>
        <w:snapToGrid w:val="0"/>
        <w:spacing w:line="360" w:lineRule="auto"/>
        <w:ind w:left="0" w:firstLine="562" w:firstLineChars="200"/>
        <w:rPr>
          <w:rFonts w:hint="eastAsia" w:eastAsia="仿宋"/>
          <w:b/>
          <w:color w:val="auto"/>
          <w:sz w:val="28"/>
          <w:szCs w:val="28"/>
        </w:rPr>
      </w:pPr>
      <w:r>
        <w:rPr>
          <w:rFonts w:hint="eastAsia" w:eastAsia="仿宋"/>
          <w:b/>
          <w:color w:val="auto"/>
          <w:sz w:val="28"/>
          <w:szCs w:val="28"/>
          <w:lang w:val="en-US" w:eastAsia="zh-CN"/>
        </w:rPr>
        <w:t>12.</w:t>
      </w:r>
      <w:r>
        <w:rPr>
          <w:rFonts w:eastAsia="仿宋"/>
          <w:b/>
          <w:color w:val="auto"/>
          <w:sz w:val="28"/>
          <w:szCs w:val="28"/>
        </w:rPr>
        <w:t>饮用水水源地突发环境事件处置</w:t>
      </w:r>
    </w:p>
    <w:p w14:paraId="24FD51C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饮用水水源地突发环境事件指由于污染物排放或自然灾害、生产安全事故、交通运输事故等因素，导致水源地风险物质进入水源保护区或其上游的连接水体，突然造成或可能造成水源地水质超标，影响或可能影响饮用水供水单位（以下简称供水单位）正常取水，危及公众身体健康和财产安全，需要采取紧急措施予以应对的事件。</w:t>
      </w:r>
    </w:p>
    <w:p w14:paraId="055F6C5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固定源突发环境事件：可能发生突发环境事件的排放污染物企业事业单位，生产、储存、运输、使用危险化学品的企业，产生、收集、贮存、运输、利用、处置危险废物的企业等固定源，因自然灾害、生产安全事故、违法排污等原因，导致水源地风险物质直接或间接排入水源保护区或其上游连接水体，造成水质污染的事件。</w:t>
      </w:r>
    </w:p>
    <w:p w14:paraId="22E6081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流动源突发环境事件：在公路运输过程中，由于交通事故等原因，导致油品、化学品或其他有毒有害物质进入水源保护区或其上游连接水体，造成水质污染的事件。</w:t>
      </w:r>
    </w:p>
    <w:p w14:paraId="11996FB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非点源突发环境事件：一是暴雨冲刷畜禽养殖废物、农田或果园土壤，导致大量细菌、农药、化肥等随地表或地下径流进入水源保护区或其上游连接水体，造成水质污染的事件；二是闸坝调控等原因，导致坝前污水短期内集中排放造成水源保护区或其上游连接水体水质污染的事件。</w:t>
      </w:r>
    </w:p>
    <w:p w14:paraId="11FF672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（1）化学品进入环境水体应急处置措施</w:t>
      </w:r>
    </w:p>
    <w:p w14:paraId="4804153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危险化学品一旦进入环境水体，应急指挥部必须立即指令现场应急处置小组迅速采取断源、控污、治污、布防等各项措施，全力保障饮水安全。</w:t>
      </w:r>
    </w:p>
    <w:p w14:paraId="7CC802C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切断污染源或泄漏源。发生危险化学品泄漏的，应急指挥部应尽快查找污染源或泄漏源，通过关闭、封堵、收集、转移等措施，切断污染源或泄漏源。在督促指导责任单位及时切断污染源头同时，控制污染或泄漏范围。固定源责任单位因污染治理设施不正常运行、人为因素、安全生产事故以及自然灾害造成污染或泄漏行为的，应急指挥部立即责令并协助企业立即启动应急收集系统，保障对污染物或泄漏物质的集中收集，在厂界设立拦截设施等措施，防止污染或泄漏蔓延扩散至厂外；应急指挥部还可以根据形势，对周边其他污染物排放企业实施停产、减产、限产措施，减轻水体污染负荷。若是流动污染源的，要及时修补、堵塞容器裂口，对泄漏物及时清理。</w:t>
      </w:r>
    </w:p>
    <w:p w14:paraId="5A24C20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控制污染水体。全面启用连接水体防控工程，拦截污染水体。在入库溪流内启用或修建拦污坝、节制闸等措施，拦截污染物及受污染水体与未受污染水体隔离；通过导流渠将未受污染的水体导流至污染水体下游，通过分流沟等将受污染水体疏导至安全区域等措施，全面控制污染范围。在汛期等特殊时期，还应充分考虑闸坝的安全性和防洪需要。</w:t>
      </w:r>
    </w:p>
    <w:p w14:paraId="34F773E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治理污染物。根据企业、专家等的意见制定综合治污方案，经应急指挥部确认后实施。进入水体污染物一般采取隔离、吸附、打捞、扰动等物理方法，氧化、沉淀等化学方法，投加菌群、利用湿地生物群消解等生物方法，上游调水等稀释方法，力争短时间内削减污染物浓度。对泄漏到地面的化学品，及时筑堤堵截或引流导安全地点，采用低温冷却、泡沫覆盖等办法抑制污染物进一步蒸发。不同的污染物治理可以根据地形地貌流域等特点采取一种或多种方式，在最短时间内完成污染物的削减工作。全面监控并妥善处置治污载体，防止发生二次污染。</w:t>
      </w:r>
    </w:p>
    <w:p w14:paraId="01D906B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（2）水质超标应急措施</w:t>
      </w:r>
    </w:p>
    <w:p w14:paraId="0915161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根据实际需要对重点污染源实行限产限排或停产，其他污染源做到稳定达标排放；压缩工业和农业用水，采取拦污、导污、截污等措施，减少污染物质进入饮用水源地的总量；加大对城镇污水处理厂的监管力度，确保达标排放；</w:t>
      </w:r>
    </w:p>
    <w:p w14:paraId="3908572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2）根据饮用水水水源地上游除常规污染因子外特殊污染因子的预警监测数据，及时采取相应的措施；加大对水源地上游及周边地区污染源的排查力度，着重调查外排废水会对超标因子产生重大影响的污染源。</w:t>
      </w:r>
    </w:p>
    <w:p w14:paraId="6721477C">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（3）居民供水保障措施</w:t>
      </w:r>
    </w:p>
    <w:p w14:paraId="1B3FCB39">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发生突发环境事故，在</w:t>
      </w:r>
      <w:r>
        <w:rPr>
          <w:rFonts w:eastAsia="仿宋"/>
          <w:color w:val="auto"/>
          <w:sz w:val="28"/>
          <w:szCs w:val="28"/>
        </w:rPr>
        <w:t>采取断源、控污、治污、布防等各项措施</w:t>
      </w:r>
      <w:r>
        <w:rPr>
          <w:rFonts w:hint="eastAsia" w:eastAsia="仿宋"/>
          <w:color w:val="auto"/>
          <w:sz w:val="28"/>
          <w:szCs w:val="28"/>
        </w:rPr>
        <w:t>后，若集中式饮用水水源地的水环境质量仍然无法满足I</w:t>
      </w:r>
      <w:r>
        <w:rPr>
          <w:rFonts w:eastAsia="仿宋"/>
          <w:color w:val="auto"/>
          <w:sz w:val="28"/>
          <w:szCs w:val="28"/>
        </w:rPr>
        <w:t>II</w:t>
      </w:r>
      <w:r>
        <w:rPr>
          <w:rFonts w:hint="eastAsia" w:eastAsia="仿宋"/>
          <w:color w:val="auto"/>
          <w:sz w:val="28"/>
          <w:szCs w:val="28"/>
        </w:rPr>
        <w:t>类及以上功能要求，需立即启用备用水源。</w:t>
      </w:r>
    </w:p>
    <w:p w14:paraId="400E5A35">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若经多级屏障处理后，取水口附近的水质仍然无法满足I</w:t>
      </w:r>
      <w:r>
        <w:rPr>
          <w:rFonts w:eastAsia="仿宋"/>
          <w:color w:val="auto"/>
          <w:sz w:val="28"/>
          <w:szCs w:val="28"/>
        </w:rPr>
        <w:t>II</w:t>
      </w:r>
      <w:r>
        <w:rPr>
          <w:rFonts w:hint="eastAsia" w:eastAsia="仿宋"/>
          <w:color w:val="auto"/>
          <w:sz w:val="28"/>
          <w:szCs w:val="28"/>
        </w:rPr>
        <w:t>类及以上功能要求，在无备用水源可用的情况下，自来水厂暂停市政供水。针对水源污染特点，在常规处理工艺之前增加预处理单元，之后增加深度处理单元，进行试生产，评价强化净化后的饮用水是否满足《生活饮用水卫生标准》（GB5749-2006）要求。若采取强化净化措施后，水厂的出厂水仍能满足《生活饮用水卫生标准》（GB5749-2006）要求，可恢复供水。若经水厂采取强化净化措施后，净化出水难以达标，则停止水厂供水，同时上报应急指挥部采取外部调水措施，保障应急期间的居民生活用水。</w:t>
      </w:r>
    </w:p>
    <w:p w14:paraId="61772F6B">
      <w:pPr>
        <w:adjustRightInd w:val="0"/>
        <w:snapToGrid w:val="0"/>
        <w:spacing w:line="360" w:lineRule="auto"/>
        <w:ind w:left="0" w:firstLine="560" w:firstLineChars="200"/>
        <w:rPr>
          <w:rFonts w:hint="eastAsia" w:eastAsia="仿宋"/>
          <w:color w:val="auto"/>
          <w:sz w:val="28"/>
          <w:szCs w:val="28"/>
        </w:rPr>
      </w:pPr>
      <w:r>
        <w:rPr>
          <w:rFonts w:hint="eastAsia" w:eastAsia="仿宋"/>
          <w:color w:val="auto"/>
          <w:sz w:val="28"/>
          <w:szCs w:val="28"/>
        </w:rPr>
        <w:t>对于市政供水出现断供的情况，应持续进行水源地的水质恢复，并实施监测水质的变化情况，满足条件后，尽快恢复市政供水。</w:t>
      </w:r>
    </w:p>
    <w:p w14:paraId="3E699B94">
      <w:pPr>
        <w:pStyle w:val="5"/>
        <w:bidi w:val="0"/>
        <w:rPr>
          <w:color w:val="auto"/>
        </w:rPr>
      </w:pPr>
      <w:bookmarkStart w:id="276" w:name="_Toc2136"/>
      <w:bookmarkStart w:id="277" w:name="_Toc89548222"/>
      <w:bookmarkStart w:id="278" w:name="_Toc89469721"/>
      <w:bookmarkStart w:id="279" w:name="_Toc788787102"/>
      <w:r>
        <w:rPr>
          <w:color w:val="auto"/>
        </w:rPr>
        <w:t>扩大应急</w:t>
      </w:r>
      <w:bookmarkEnd w:id="276"/>
      <w:bookmarkEnd w:id="277"/>
      <w:bookmarkEnd w:id="278"/>
      <w:bookmarkEnd w:id="279"/>
    </w:p>
    <w:p w14:paraId="6BBD0F4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在突发环境事件救援过程中，现场指挥部人员将现场情况及时向指挥部汇报。指挥部根据现场情况调查和评估事件的可能发展方向，预测事件的发展趋势；根据事态发展决定是否请求外援。</w:t>
      </w:r>
    </w:p>
    <w:p w14:paraId="7AC69BF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（1）因突发环境事件次生或衍生出其他突发公共事件，或已有的应急救援能力不足以控制事件的发展态势，应急指挥部办公室应及时向</w:t>
      </w:r>
      <w:r>
        <w:rPr>
          <w:rFonts w:hint="eastAsia" w:eastAsia="仿宋"/>
          <w:color w:val="auto"/>
          <w:sz w:val="28"/>
          <w:szCs w:val="28"/>
        </w:rPr>
        <w:t>额尔古纳市</w:t>
      </w:r>
      <w:r>
        <w:rPr>
          <w:rFonts w:eastAsia="仿宋"/>
          <w:color w:val="auto"/>
          <w:sz w:val="28"/>
          <w:szCs w:val="28"/>
        </w:rPr>
        <w:t>人民政府报告，请求启动相关应急预案；</w:t>
      </w:r>
    </w:p>
    <w:p w14:paraId="1A82BE6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（2）已采取的处置措施无法控制和消除事件的严重危害，需要实施扩大应急救援行动，应急指挥部办公室可提请</w:t>
      </w:r>
      <w:r>
        <w:rPr>
          <w:rFonts w:hint="eastAsia" w:eastAsia="仿宋"/>
          <w:color w:val="auto"/>
          <w:sz w:val="28"/>
          <w:szCs w:val="28"/>
        </w:rPr>
        <w:t>额尔古纳市</w:t>
      </w:r>
      <w:r>
        <w:rPr>
          <w:rFonts w:eastAsia="仿宋"/>
          <w:color w:val="auto"/>
          <w:sz w:val="28"/>
          <w:szCs w:val="28"/>
        </w:rPr>
        <w:t>人民政府请求各方力量及</w:t>
      </w:r>
      <w:r>
        <w:rPr>
          <w:rFonts w:hint="eastAsia" w:eastAsia="仿宋"/>
          <w:color w:val="auto"/>
          <w:sz w:val="28"/>
          <w:szCs w:val="28"/>
        </w:rPr>
        <w:t>额尔古纳市</w:t>
      </w:r>
      <w:r>
        <w:rPr>
          <w:rFonts w:eastAsia="仿宋"/>
          <w:color w:val="auto"/>
          <w:sz w:val="28"/>
          <w:szCs w:val="28"/>
        </w:rPr>
        <w:t>境内相关力量支援；</w:t>
      </w:r>
    </w:p>
    <w:p w14:paraId="5CC5205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（3）已采取的处置措施无法控制和消除其严重危害，并有可能危及周边地区环境，应急指挥部办公室可提请</w:t>
      </w:r>
      <w:r>
        <w:rPr>
          <w:rFonts w:hint="eastAsia" w:eastAsia="仿宋"/>
          <w:color w:val="auto"/>
          <w:sz w:val="28"/>
          <w:szCs w:val="28"/>
        </w:rPr>
        <w:t>额尔古纳市</w:t>
      </w:r>
      <w:r>
        <w:rPr>
          <w:rFonts w:eastAsia="仿宋"/>
          <w:color w:val="auto"/>
          <w:sz w:val="28"/>
          <w:szCs w:val="28"/>
        </w:rPr>
        <w:t>人民政府请求呼伦贝尔市应急指挥部增援。</w:t>
      </w:r>
    </w:p>
    <w:p w14:paraId="3230215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在外部救援队伍到来后，现场指挥部应向救援人员详细介绍现场所贮存和使用的危险物质的情况，并说明其他相关危险情况。现场指挥权相应上移，</w:t>
      </w:r>
      <w:r>
        <w:rPr>
          <w:rFonts w:hint="eastAsia" w:eastAsia="仿宋"/>
          <w:color w:val="auto"/>
          <w:sz w:val="28"/>
          <w:szCs w:val="28"/>
        </w:rPr>
        <w:t>额尔古纳市</w:t>
      </w:r>
      <w:r>
        <w:rPr>
          <w:rFonts w:eastAsia="仿宋"/>
          <w:color w:val="auto"/>
          <w:sz w:val="28"/>
          <w:szCs w:val="28"/>
        </w:rPr>
        <w:t>突发环境事件应急救援队伍全力配合支持应急处置行动。</w:t>
      </w:r>
    </w:p>
    <w:p w14:paraId="48241F63">
      <w:pPr>
        <w:pStyle w:val="5"/>
        <w:bidi w:val="0"/>
        <w:rPr>
          <w:color w:val="auto"/>
        </w:rPr>
      </w:pPr>
      <w:bookmarkStart w:id="280" w:name="_Toc89548223"/>
      <w:bookmarkStart w:id="281" w:name="_Toc28058"/>
      <w:bookmarkStart w:id="282" w:name="_Toc728270383"/>
      <w:bookmarkStart w:id="283" w:name="_Toc89469722"/>
      <w:r>
        <w:rPr>
          <w:color w:val="auto"/>
        </w:rPr>
        <w:t>现场急救重点</w:t>
      </w:r>
      <w:bookmarkEnd w:id="280"/>
      <w:bookmarkEnd w:id="281"/>
      <w:bookmarkEnd w:id="282"/>
      <w:bookmarkEnd w:id="283"/>
    </w:p>
    <w:p w14:paraId="686DB7D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（1）抢救人员</w:t>
      </w:r>
    </w:p>
    <w:p w14:paraId="49B4DF9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坚持以人为本的原则，千方百计抢救现场被困人员。化学品对人体可能造成的伤害为中毒、窒息、冻伤、化学灼伤、烧伤等。承担抢救任务的人员要保伊好自身安全。医疗抢救人员要视情况在现场及时进行必要的抢救，并快速、安全将受伤人员转移到医院全面抢救。</w:t>
      </w:r>
    </w:p>
    <w:p w14:paraId="6A0F285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（2）排险与抢修工作</w:t>
      </w:r>
    </w:p>
    <w:p w14:paraId="16C86F0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高效快速进行排险抢修是控制事故蔓延、消除事故的关键，在做好防护的基础上，开展危化品爆炸、泄漏控制、泄漏处理和火灾控制、火灾扑救工作。尽可能通过控制泄漏源来消除化学品的溢出和泄漏，对现场泄漏物要及时采取覆盖、收容、稀释、处理，使泄漏物得到安全可靠的处置。扑救危险化学品的火灾，应针对每一类化学品理化特性，选择正确的灭火剂和灭火方法。</w:t>
      </w:r>
    </w:p>
    <w:p w14:paraId="3C5A0CA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（3）紧急输散警戒</w:t>
      </w:r>
    </w:p>
    <w:p w14:paraId="1D57FA3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化学品事故有可能对周围人员环境安全构成危害威胁时，必须在指挥部统一指挥下，将与应急救援无关人员沿上向向两侧进行紧急疏散到安全地点，并处于事故发生点的上风向。</w:t>
      </w:r>
    </w:p>
    <w:p w14:paraId="79D6A03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（4）抢险物资供应</w:t>
      </w:r>
    </w:p>
    <w:p w14:paraId="14B98BB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抢救排险、抢修时所需物资是应急救援的必要保障，应急保障组按照分工要有充分准备，－旦需要能及时调运，投入现场救援需要。</w:t>
      </w:r>
    </w:p>
    <w:p w14:paraId="6CE0688F">
      <w:pPr>
        <w:pStyle w:val="5"/>
        <w:bidi w:val="0"/>
        <w:rPr>
          <w:color w:val="auto"/>
        </w:rPr>
      </w:pPr>
      <w:bookmarkStart w:id="284" w:name="_Toc89469723"/>
      <w:bookmarkStart w:id="285" w:name="_Toc89548224"/>
      <w:bookmarkStart w:id="286" w:name="_Toc6227"/>
      <w:bookmarkStart w:id="287" w:name="_Toc1531022828"/>
      <w:r>
        <w:rPr>
          <w:color w:val="auto"/>
        </w:rPr>
        <w:t>应急监测</w:t>
      </w:r>
      <w:bookmarkEnd w:id="284"/>
      <w:bookmarkEnd w:id="285"/>
      <w:bookmarkEnd w:id="286"/>
      <w:bookmarkEnd w:id="287"/>
    </w:p>
    <w:p w14:paraId="31A90619">
      <w:pPr>
        <w:adjustRightInd w:val="0"/>
        <w:snapToGrid w:val="0"/>
        <w:spacing w:line="360" w:lineRule="auto"/>
        <w:ind w:left="0" w:firstLine="560" w:firstLineChars="200"/>
        <w:rPr>
          <w:rFonts w:hint="eastAsia" w:eastAsia="仿宋"/>
          <w:color w:val="auto"/>
          <w:sz w:val="28"/>
          <w:szCs w:val="28"/>
        </w:rPr>
      </w:pPr>
      <w:r>
        <w:rPr>
          <w:rFonts w:hint="eastAsia" w:eastAsia="仿宋"/>
          <w:color w:val="auto"/>
          <w:sz w:val="28"/>
          <w:szCs w:val="28"/>
        </w:rPr>
        <w:t>由于</w:t>
      </w:r>
      <w:r>
        <w:rPr>
          <w:rFonts w:hint="eastAsia" w:eastAsia="仿宋"/>
          <w:color w:val="auto"/>
          <w:sz w:val="28"/>
          <w:szCs w:val="28"/>
          <w:lang w:val="en-US" w:eastAsia="zh-CN"/>
        </w:rPr>
        <w:t>额尔古纳市</w:t>
      </w:r>
      <w:r>
        <w:rPr>
          <w:rFonts w:hint="eastAsia" w:eastAsia="仿宋"/>
          <w:color w:val="auto"/>
          <w:sz w:val="28"/>
          <w:szCs w:val="28"/>
        </w:rPr>
        <w:t>环境监测站能力有限，发生突发环境事件时第一时间经由应急指挥部向呼伦贝尔市环境监测站请求协助。对突发性环境污染事故进行环境简单应急监测，掌握第一手监测资料。</w:t>
      </w:r>
    </w:p>
    <w:p w14:paraId="33B4A8B9">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根据检测结果，综合分析突发性环境污染事故的发展情况和污染物的变化情况，作为突发性环境污染事故应急决策的依据。</w:t>
      </w:r>
    </w:p>
    <w:p w14:paraId="17235455">
      <w:pPr>
        <w:pStyle w:val="6"/>
        <w:bidi w:val="0"/>
        <w:rPr>
          <w:color w:val="auto"/>
        </w:rPr>
      </w:pPr>
      <w:bookmarkStart w:id="288" w:name="_Toc6877"/>
      <w:r>
        <w:rPr>
          <w:color w:val="auto"/>
        </w:rPr>
        <w:t>应急监测启动</w:t>
      </w:r>
      <w:bookmarkEnd w:id="288"/>
    </w:p>
    <w:p w14:paraId="3729951E">
      <w:pPr>
        <w:pStyle w:val="7"/>
        <w:bidi w:val="0"/>
        <w:rPr>
          <w:color w:val="auto"/>
        </w:rPr>
      </w:pPr>
      <w:r>
        <w:rPr>
          <w:rFonts w:hint="eastAsia"/>
          <w:color w:val="auto"/>
          <w:lang w:eastAsia="zh-CN"/>
        </w:rPr>
        <w:t>额尔古纳市生态环境监测中心在接到应急指挥部请求后，</w:t>
      </w:r>
      <w:r>
        <w:rPr>
          <w:color w:val="auto"/>
        </w:rPr>
        <w:t>按</w:t>
      </w:r>
      <w:r>
        <w:rPr>
          <w:rFonts w:hint="eastAsia"/>
          <w:color w:val="auto"/>
          <w:lang w:eastAsia="zh-CN"/>
        </w:rPr>
        <w:t>本预案</w:t>
      </w:r>
      <w:r>
        <w:rPr>
          <w:color w:val="auto"/>
        </w:rPr>
        <w:t>启动应急监测工作程序，开展监测工作。</w:t>
      </w:r>
    </w:p>
    <w:p w14:paraId="31C7751C">
      <w:pPr>
        <w:pStyle w:val="6"/>
        <w:bidi w:val="0"/>
        <w:rPr>
          <w:color w:val="auto"/>
        </w:rPr>
      </w:pPr>
      <w:bookmarkStart w:id="289" w:name="_Toc5268"/>
      <w:r>
        <w:rPr>
          <w:rFonts w:hint="eastAsia"/>
          <w:color w:val="auto"/>
        </w:rPr>
        <w:t>应急监测的准备</w:t>
      </w:r>
      <w:bookmarkEnd w:id="289"/>
    </w:p>
    <w:p w14:paraId="1258E14B">
      <w:pPr>
        <w:pStyle w:val="7"/>
        <w:bidi w:val="0"/>
        <w:rPr>
          <w:rFonts w:hint="eastAsia"/>
          <w:color w:val="auto"/>
        </w:rPr>
      </w:pPr>
      <w:r>
        <w:rPr>
          <w:rFonts w:hint="eastAsia"/>
          <w:color w:val="auto"/>
        </w:rPr>
        <w:t>（1）应急指挥部立即通知额尔古纳市生态环境监测中心，应急指挥办公室协助市环境监测站开展监测工作。由监测站负责人根据现场情况提出初步应急监测方案，提出隔离警戒区范围及应急处置建议。</w:t>
      </w:r>
    </w:p>
    <w:p w14:paraId="7ACCC457">
      <w:pPr>
        <w:pStyle w:val="7"/>
        <w:bidi w:val="0"/>
        <w:rPr>
          <w:rFonts w:hint="eastAsia"/>
          <w:color w:val="auto"/>
        </w:rPr>
      </w:pPr>
      <w:r>
        <w:rPr>
          <w:rFonts w:hint="eastAsia"/>
          <w:color w:val="auto"/>
        </w:rPr>
        <w:t>（2）市环境监测站根据事前的了解，携带相关的监测设备。</w:t>
      </w:r>
    </w:p>
    <w:p w14:paraId="746A872D">
      <w:pPr>
        <w:pStyle w:val="7"/>
        <w:bidi w:val="0"/>
        <w:rPr>
          <w:rFonts w:hint="eastAsia"/>
          <w:color w:val="auto"/>
        </w:rPr>
      </w:pPr>
      <w:r>
        <w:rPr>
          <w:rFonts w:hint="eastAsia"/>
          <w:color w:val="auto"/>
        </w:rPr>
        <w:t>（3）车间负责人完成供电设备、通讯、照明器材等的准备工作。</w:t>
      </w:r>
    </w:p>
    <w:p w14:paraId="6343F96A">
      <w:pPr>
        <w:pStyle w:val="7"/>
        <w:bidi w:val="0"/>
        <w:rPr>
          <w:rFonts w:hint="eastAsia"/>
          <w:color w:val="auto"/>
        </w:rPr>
      </w:pPr>
      <w:r>
        <w:rPr>
          <w:rFonts w:hint="eastAsia"/>
          <w:color w:val="auto"/>
        </w:rPr>
        <w:t>（4）旗公安局负责现场照相与摄像工作。</w:t>
      </w:r>
    </w:p>
    <w:p w14:paraId="0B484B7C">
      <w:pPr>
        <w:pStyle w:val="6"/>
        <w:bidi w:val="0"/>
        <w:rPr>
          <w:rFonts w:hint="eastAsia"/>
          <w:color w:val="auto"/>
        </w:rPr>
      </w:pPr>
      <w:bookmarkStart w:id="290" w:name="_Toc18207"/>
      <w:r>
        <w:rPr>
          <w:rFonts w:ascii="Times New Roman" w:hAnsi="Times New Roman" w:cs="Times New Roman"/>
          <w:color w:val="auto"/>
        </w:rPr>
        <w:t>应急监测方案的确定</w:t>
      </w:r>
      <w:bookmarkEnd w:id="290"/>
    </w:p>
    <w:p w14:paraId="5FB8F3EF">
      <w:pPr>
        <w:pStyle w:val="7"/>
        <w:rPr>
          <w:rFonts w:hint="eastAsia"/>
          <w:color w:val="auto"/>
        </w:rPr>
      </w:pPr>
      <w:r>
        <w:rPr>
          <w:rFonts w:hint="eastAsia"/>
          <w:color w:val="auto"/>
        </w:rPr>
        <w:t>（1）根据应急指挥部的指示，建立全旗应急监测网络，组织制定全旗突发性环境污染事故应急监测预案。</w:t>
      </w:r>
    </w:p>
    <w:p w14:paraId="02FBC581">
      <w:pPr>
        <w:pStyle w:val="7"/>
        <w:rPr>
          <w:rFonts w:hint="eastAsia"/>
          <w:color w:val="auto"/>
        </w:rPr>
      </w:pPr>
      <w:r>
        <w:rPr>
          <w:rFonts w:hint="eastAsia"/>
          <w:color w:val="auto"/>
        </w:rPr>
        <w:t>（2）通过初步现场及实验室分析，对污染物进行定性，定量以及确定污染范围。根据不同形式的环境事故，确定好监测对象、监测点位、监测项目、监测方法、监测频次、质控要求。</w:t>
      </w:r>
    </w:p>
    <w:p w14:paraId="588624E6">
      <w:pPr>
        <w:pStyle w:val="7"/>
        <w:rPr>
          <w:rFonts w:hint="eastAsia"/>
          <w:color w:val="auto"/>
        </w:rPr>
      </w:pPr>
      <w:r>
        <w:rPr>
          <w:rFonts w:hint="eastAsia"/>
          <w:color w:val="auto"/>
        </w:rPr>
        <w:t>（3）现场采样与监测。由应急指挥部和呼伦贝尔市环境监测站进行突发性环境污染事故应急监测的技术指导和应急监测技术研究工作。</w:t>
      </w:r>
    </w:p>
    <w:p w14:paraId="10242F8F">
      <w:pPr>
        <w:pStyle w:val="7"/>
        <w:rPr>
          <w:rFonts w:hint="eastAsia"/>
          <w:color w:val="auto"/>
        </w:rPr>
      </w:pPr>
      <w:r>
        <w:rPr>
          <w:rFonts w:hint="eastAsia"/>
          <w:color w:val="auto"/>
        </w:rPr>
        <w:t>（4）根据事态的变化，环境监测人员适当调整监测方案。</w:t>
      </w:r>
    </w:p>
    <w:p w14:paraId="17AA22D4">
      <w:pPr>
        <w:pStyle w:val="6"/>
        <w:bidi w:val="0"/>
        <w:rPr>
          <w:rFonts w:hint="eastAsia"/>
          <w:color w:val="auto"/>
        </w:rPr>
      </w:pPr>
      <w:bookmarkStart w:id="291" w:name="_Toc9562"/>
      <w:r>
        <w:rPr>
          <w:rFonts w:ascii="Times New Roman" w:hAnsi="Times New Roman" w:cs="Times New Roman"/>
          <w:color w:val="auto"/>
        </w:rPr>
        <w:t>应急监测报告与终止</w:t>
      </w:r>
      <w:bookmarkEnd w:id="291"/>
    </w:p>
    <w:p w14:paraId="345196A3">
      <w:pPr>
        <w:pStyle w:val="7"/>
        <w:rPr>
          <w:rFonts w:hint="eastAsia"/>
          <w:color w:val="auto"/>
        </w:rPr>
      </w:pPr>
      <w:r>
        <w:rPr>
          <w:color w:val="auto"/>
        </w:rPr>
        <w:t>监测数据质控。在确保数据的质量的前提下，采取超常规方式进行质控。监测结果与分析结论呈报。视情况可采取先口头后书面或直接采取书面报告的形式进行。即在事态危急的情况下，一旦监测结果与分析结论形成后，就由环境监测人员在第一时间采用口头形式向</w:t>
      </w:r>
      <w:r>
        <w:rPr>
          <w:color w:val="auto"/>
          <w:szCs w:val="24"/>
        </w:rPr>
        <w:t>组长</w:t>
      </w:r>
      <w:r>
        <w:rPr>
          <w:color w:val="auto"/>
        </w:rPr>
        <w:t>报告，并报告应急指挥办公室主任，同时要对数据及相关资料进行分析和整理以形成书面报告，及时向上报；在事态得到控制后可采取书面报告的形式报告。整个监测过程和数据及评价结论都是持续性的，直至预警解除为止。</w:t>
      </w:r>
    </w:p>
    <w:p w14:paraId="7B402EE4">
      <w:pPr>
        <w:pStyle w:val="5"/>
        <w:bidi w:val="0"/>
        <w:rPr>
          <w:color w:val="auto"/>
        </w:rPr>
      </w:pPr>
      <w:bookmarkStart w:id="292" w:name="_Toc89548229"/>
      <w:bookmarkStart w:id="293" w:name="_Toc27198"/>
      <w:bookmarkStart w:id="294" w:name="_Toc89469728"/>
      <w:bookmarkStart w:id="295" w:name="_Toc1049103146"/>
      <w:bookmarkStart w:id="296" w:name="_Toc398733596"/>
      <w:r>
        <w:rPr>
          <w:color w:val="auto"/>
        </w:rPr>
        <w:t>安全防护</w:t>
      </w:r>
      <w:bookmarkEnd w:id="292"/>
      <w:bookmarkEnd w:id="293"/>
      <w:bookmarkEnd w:id="294"/>
      <w:bookmarkEnd w:id="295"/>
    </w:p>
    <w:p w14:paraId="06273DFB">
      <w:pPr>
        <w:pStyle w:val="6"/>
        <w:bidi w:val="0"/>
        <w:rPr>
          <w:color w:val="auto"/>
        </w:rPr>
      </w:pPr>
      <w:bookmarkStart w:id="297" w:name="_Toc89469729"/>
      <w:bookmarkStart w:id="298" w:name="_Toc89548230"/>
      <w:bookmarkStart w:id="299" w:name="_Toc1435832952"/>
      <w:bookmarkStart w:id="300" w:name="_Toc31045"/>
      <w:r>
        <w:rPr>
          <w:color w:val="auto"/>
        </w:rPr>
        <w:t>建立警戒区</w:t>
      </w:r>
      <w:bookmarkEnd w:id="297"/>
      <w:bookmarkEnd w:id="298"/>
      <w:bookmarkEnd w:id="299"/>
      <w:bookmarkEnd w:id="300"/>
    </w:p>
    <w:p w14:paraId="41DB0FC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在突发环境事件处置中，应急指挥部在应急专家组的建议下划分核心区、缓冲区、警戒区。划分区域时应当结合实际事故情形，依据环境污染事件物质的易燃易爆及有毒特性、可能的泄漏量、当时的风速、风向、周边地形。若发生火灾，同时还要考虑可能的火焰辐射热及烟的波及范围。</w:t>
      </w:r>
    </w:p>
    <w:p w14:paraId="37A4FC6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（1）事故中心区域</w:t>
      </w:r>
    </w:p>
    <w:p w14:paraId="2DBAE1D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中心区即距事故现场0~500m的区域。此区域危险化学品浓度高，有扩散并伴有爆炸、火灾发生，建筑物设施及设备损坏，人员急性中毒。</w:t>
      </w:r>
    </w:p>
    <w:p w14:paraId="52339AA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事故中心区的救援人员需要全身防护，并佩戴隔绝式面具。救援工作包括切断事故源、抢救伤员、保护和转移其它危险化学品、清除渗漏液态毒物、进行局部的空间洗消及封闭现场等。</w:t>
      </w:r>
    </w:p>
    <w:p w14:paraId="3E70F37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非抢险人员撤离到中心区域以外后应清点人数，并进行登记。事故中心区域边界应有明显警戒标志。</w:t>
      </w:r>
    </w:p>
    <w:p w14:paraId="3D8178B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（2）事故波及区域</w:t>
      </w:r>
    </w:p>
    <w:p w14:paraId="492AF15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事故波及区即距事故现场500~1000m的区域。该区域空气中危险化学品浓度较高，作用时间较长，有可能发生人员或物品的伤害或损坏。</w:t>
      </w:r>
    </w:p>
    <w:p w14:paraId="0FB97ED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该区域的救援工作主要是指导防护、监测污染情况，控制交通，组织排除滞留危险化学品气体。视事故实际情况组织人员疏散转移。事故波及区域人员撤离到该区域以外后应清点人数，并进行登记。事故波及区域边界应有明显警戒标志。</w:t>
      </w:r>
    </w:p>
    <w:p w14:paraId="3F5145A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（3）事故警戒区</w:t>
      </w:r>
    </w:p>
    <w:p w14:paraId="0B3AE9A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事故警戒区是指事故波及区外可能受影响的区域，其范围应视现场事故情况和气象条件而定，该区可能有从中心区和波及区扩散的小剂量危险化学品危害。</w:t>
      </w:r>
    </w:p>
    <w:p w14:paraId="484517F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该区救援工作重点放在及时指导群众进行防护，对群众进行有关知识的宣传，稳定群众的思想情绪，做基本应急准备。</w:t>
      </w:r>
    </w:p>
    <w:p w14:paraId="68FA25F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以上区域距事故现场距离的确定一般原则：特殊危化品事故或在不同气象条件（事故现场风向风力等）下发生的危化品事故应视当时事故的特殊性确定相应的区域范围。</w:t>
      </w:r>
    </w:p>
    <w:p w14:paraId="7ED458A6">
      <w:pPr>
        <w:adjustRightInd w:val="0"/>
        <w:snapToGrid w:val="0"/>
        <w:spacing w:line="360" w:lineRule="auto"/>
        <w:ind w:left="0" w:firstLine="560" w:firstLineChars="200"/>
        <w:rPr>
          <w:rFonts w:eastAsia="仿宋"/>
          <w:color w:val="auto"/>
        </w:rPr>
      </w:pPr>
      <w:r>
        <w:rPr>
          <w:rFonts w:eastAsia="仿宋"/>
          <w:color w:val="auto"/>
          <w:sz w:val="28"/>
          <w:szCs w:val="28"/>
        </w:rPr>
        <w:t>根据事故大小、类别、级别设定危险区隔离范围。社会稳定组在通往事故现场的主要干道上实行交通管制，警戒区域的边界设警示标志并有专人警戒。同时，迅速将警戒区内与事故应急处理无关的人员撤离，减少不必要的人员伤亡。除消防及突发环境事件应急救援人员外，其他人员禁止进入警戒区。</w:t>
      </w:r>
    </w:p>
    <w:p w14:paraId="6B313A9C">
      <w:pPr>
        <w:pStyle w:val="6"/>
        <w:bidi w:val="0"/>
        <w:rPr>
          <w:color w:val="auto"/>
        </w:rPr>
      </w:pPr>
      <w:bookmarkStart w:id="301" w:name="_Toc32200"/>
      <w:bookmarkStart w:id="302" w:name="_Toc89469730"/>
      <w:bookmarkStart w:id="303" w:name="_Toc770682925"/>
      <w:bookmarkStart w:id="304" w:name="_Toc89548231"/>
      <w:r>
        <w:rPr>
          <w:color w:val="auto"/>
        </w:rPr>
        <w:t>应急人员的安全防护</w:t>
      </w:r>
      <w:bookmarkEnd w:id="301"/>
      <w:bookmarkEnd w:id="302"/>
      <w:bookmarkEnd w:id="303"/>
      <w:bookmarkEnd w:id="304"/>
    </w:p>
    <w:p w14:paraId="33FF17F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现场处置人员应根据不同类型环境事件的特点，配备相应的专业防护装备，采取安全防护措施，严格执行应急人员出入事发现场程序。应急救援时，所有到达事故现场进行应急的人员都应严格执行突发环境事件应急人员出入事发现场的相关程序。未经现场指挥部同意和许可，任何人不能随意进入事故警戒区，以确保应急救援人员的安全防护和人身安全。</w:t>
      </w:r>
    </w:p>
    <w:p w14:paraId="01C61F48">
      <w:pPr>
        <w:pStyle w:val="6"/>
        <w:bidi w:val="0"/>
        <w:rPr>
          <w:color w:val="auto"/>
        </w:rPr>
      </w:pPr>
      <w:bookmarkStart w:id="305" w:name="_Toc1394045418"/>
      <w:bookmarkStart w:id="306" w:name="_Toc89548232"/>
      <w:bookmarkStart w:id="307" w:name="_Toc15209"/>
      <w:bookmarkStart w:id="308" w:name="_Toc89469731"/>
      <w:r>
        <w:rPr>
          <w:color w:val="auto"/>
        </w:rPr>
        <w:t>受灾群众的安全防护</w:t>
      </w:r>
      <w:bookmarkEnd w:id="305"/>
      <w:bookmarkEnd w:id="306"/>
      <w:bookmarkEnd w:id="307"/>
      <w:bookmarkEnd w:id="308"/>
    </w:p>
    <w:p w14:paraId="2BBF2E4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救援过程中，应根据不同危险化学品事故的特点，组织和指导群众就地取材，采用简易有效的防护措施。并根据实际情况，制定切实可行的疏散程序，包括疏散组织、指挥机构、疏散范围、疏散方式、疏散路线、疏散人员等。组织群众撤离危险区域时，应选择安全的撤离路线，避免横穿危险区域。进入安全区域后，应尽快换去受污染的衣物。</w:t>
      </w:r>
    </w:p>
    <w:p w14:paraId="299D73C1">
      <w:pPr>
        <w:pStyle w:val="6"/>
        <w:bidi w:val="0"/>
        <w:rPr>
          <w:color w:val="auto"/>
        </w:rPr>
      </w:pPr>
      <w:bookmarkStart w:id="309" w:name="_Toc89548233"/>
      <w:bookmarkStart w:id="310" w:name="_Toc16697"/>
      <w:bookmarkStart w:id="311" w:name="_Toc89469732"/>
      <w:bookmarkStart w:id="312" w:name="_Toc674751556"/>
      <w:r>
        <w:rPr>
          <w:color w:val="auto"/>
        </w:rPr>
        <w:t>现场人员的撤离</w:t>
      </w:r>
      <w:bookmarkEnd w:id="309"/>
      <w:bookmarkEnd w:id="310"/>
      <w:bookmarkEnd w:id="311"/>
      <w:bookmarkEnd w:id="312"/>
    </w:p>
    <w:p w14:paraId="33D964F2">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突发环境事件应急指挥部根据紧急疏散的需要，可以征用机关、学校、文化场所，必要时也可征用经营性宾馆、招待所、酒店作为临时避难场所，并确保疏散人员生活所需，如饮水、食品和棉被等。疏散、撤离路线应依据事故发生的场所，设施及周围情况、化学品的性质和危害程度，以及当时的风向等气象情况由应急指挥部确定。</w:t>
      </w:r>
    </w:p>
    <w:p w14:paraId="2A91916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在应急指挥部的统一指挥下，对与事故应急救援无关的人员进行紧急疏散、撤离。撤离的方向、距离和集中地点，必须根据不同事故，做出具体规定，总的原则是疏散安全点处于当时的上风向。对可能威胁到厂外居民（包括友邻单位人员）安全时，指挥部应立即和地方有关部门联系，引导居民迅速撤离到安全地点。</w:t>
      </w:r>
    </w:p>
    <w:p w14:paraId="75ABE43C">
      <w:pPr>
        <w:pStyle w:val="6"/>
        <w:bidi w:val="0"/>
        <w:rPr>
          <w:color w:val="auto"/>
        </w:rPr>
      </w:pPr>
      <w:bookmarkStart w:id="313" w:name="_Toc89548234"/>
      <w:bookmarkStart w:id="314" w:name="_Toc89469733"/>
      <w:bookmarkStart w:id="315" w:name="_Toc1835745532"/>
      <w:bookmarkStart w:id="316" w:name="_Toc21285"/>
      <w:r>
        <w:rPr>
          <w:color w:val="auto"/>
        </w:rPr>
        <w:t>物资的疏散</w:t>
      </w:r>
      <w:bookmarkEnd w:id="313"/>
      <w:bookmarkEnd w:id="314"/>
      <w:bookmarkEnd w:id="315"/>
      <w:bookmarkEnd w:id="316"/>
    </w:p>
    <w:p w14:paraId="7D8B97B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按照“先重点，后一般”的原则进行物资疏散，优先疏散那些可能扩大火势有爆炸危险的物资。而后，疏散性质重要、价值昂贵的物资，如档案资料、高级仪器、设备等。疏散出的物资应堆放在上风向的安全地带，不得堵塞通道，并派专人看护。</w:t>
      </w:r>
    </w:p>
    <w:p w14:paraId="2C1E5CB2">
      <w:pPr>
        <w:pStyle w:val="5"/>
        <w:bidi w:val="0"/>
        <w:rPr>
          <w:color w:val="auto"/>
        </w:rPr>
      </w:pPr>
      <w:bookmarkStart w:id="317" w:name="_Toc89469734"/>
      <w:bookmarkStart w:id="318" w:name="_Toc477599875"/>
      <w:bookmarkStart w:id="319" w:name="_Toc21753"/>
      <w:bookmarkStart w:id="320" w:name="_Toc89548235"/>
      <w:r>
        <w:rPr>
          <w:color w:val="auto"/>
        </w:rPr>
        <w:t>信息发布</w:t>
      </w:r>
      <w:bookmarkEnd w:id="317"/>
      <w:bookmarkEnd w:id="318"/>
      <w:bookmarkEnd w:id="319"/>
      <w:bookmarkEnd w:id="320"/>
    </w:p>
    <w:p w14:paraId="0860FB1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应急救援工作的所有信息均应报送应急指挥部，经应急指挥部及应急专家组成员研判后，按突发环境事件信息报送办法对事故的具体情况进行如实发布，正确引导救援工作。</w:t>
      </w:r>
    </w:p>
    <w:p w14:paraId="397CD49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根据突发事件演进过程，应急救援信息发布包括事前、事中和事后发布，每个阶段发布内容侧重有所不同：</w:t>
      </w:r>
    </w:p>
    <w:p w14:paraId="576A767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事前信息发布内容。包括告知公众可能发生突发事件的类别、预警级别、可能影响的范围、可能造成的危害程度、可能的起始时间和延续时间等，及时发布公众在突发事件爆发前应当采取的防范措施和应做好的相关准备工作；</w:t>
      </w:r>
    </w:p>
    <w:p w14:paraId="3C2AF96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事中信息发布内容。包括突发事件的性质、发生和发展情况，人员伤亡和财产损失情况，已经和正在采取的应对措施，受影响的群体及行为建议等，让公众了解、监督在突发事件处置过程中的行为。对突发环境事件流传的各种谣言采用权威方式有针对性地予以澄清；</w:t>
      </w:r>
    </w:p>
    <w:p w14:paraId="1EAB787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（3）事后信息发布内容。包括应急处置中的经验教训，相关责任人的调查处理结果，恢复重建的政策规划和执行情况，受灾群众的救济和赔偿等。信息发布的方式可以通过网络、新闻媒体等进行。</w:t>
      </w:r>
    </w:p>
    <w:p w14:paraId="1A8EA8D2">
      <w:pPr>
        <w:pStyle w:val="5"/>
        <w:bidi w:val="0"/>
        <w:rPr>
          <w:color w:val="auto"/>
        </w:rPr>
      </w:pPr>
      <w:bookmarkStart w:id="321" w:name="_Toc89548236"/>
      <w:bookmarkStart w:id="322" w:name="_Toc1874710286"/>
      <w:bookmarkStart w:id="323" w:name="_Toc89469735"/>
      <w:bookmarkStart w:id="324" w:name="_Toc928"/>
      <w:r>
        <w:rPr>
          <w:color w:val="auto"/>
        </w:rPr>
        <w:t>应急终止</w:t>
      </w:r>
      <w:bookmarkEnd w:id="296"/>
      <w:bookmarkEnd w:id="321"/>
      <w:bookmarkEnd w:id="322"/>
      <w:bookmarkEnd w:id="323"/>
      <w:bookmarkEnd w:id="324"/>
    </w:p>
    <w:p w14:paraId="77672AC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应急结束遵循“谁启动、谁结束”的原则，经应急专家组分析论证，认为满足应急终止条件时，除已启动上级应急预案需由上级政府及相关部门决定应急结束外，突发环境事件应急终止由</w:t>
      </w:r>
      <w:r>
        <w:rPr>
          <w:rFonts w:hint="eastAsia" w:eastAsia="仿宋"/>
          <w:color w:val="auto"/>
          <w:sz w:val="28"/>
          <w:szCs w:val="28"/>
        </w:rPr>
        <w:t>额尔古纳市</w:t>
      </w:r>
      <w:r>
        <w:rPr>
          <w:rFonts w:eastAsia="仿宋"/>
          <w:color w:val="auto"/>
          <w:sz w:val="28"/>
          <w:szCs w:val="28"/>
        </w:rPr>
        <w:t>突发环境事件应急指挥部批准后实施，宣布响应结束。</w:t>
      </w:r>
    </w:p>
    <w:p w14:paraId="5BB1977F">
      <w:pPr>
        <w:pStyle w:val="6"/>
        <w:bidi w:val="0"/>
        <w:rPr>
          <w:color w:val="auto"/>
        </w:rPr>
      </w:pPr>
      <w:bookmarkStart w:id="325" w:name="_Toc2677"/>
      <w:bookmarkStart w:id="326" w:name="_Toc89469736"/>
      <w:bookmarkStart w:id="327" w:name="_Toc375708018"/>
      <w:bookmarkStart w:id="328" w:name="_Toc89548237"/>
      <w:r>
        <w:rPr>
          <w:color w:val="auto"/>
        </w:rPr>
        <w:t>应急终止条件</w:t>
      </w:r>
      <w:bookmarkEnd w:id="325"/>
      <w:bookmarkEnd w:id="326"/>
      <w:bookmarkEnd w:id="327"/>
      <w:bookmarkEnd w:id="328"/>
    </w:p>
    <w:p w14:paraId="529C2D1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符合下列条件之一的，即满足应急终止条件：</w:t>
      </w:r>
    </w:p>
    <w:p w14:paraId="67AE7B42">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（1）现场得到控制，事件条件已经消除</w:t>
      </w:r>
      <w:r>
        <w:rPr>
          <w:rFonts w:hint="eastAsia" w:eastAsia="仿宋"/>
          <w:color w:val="auto"/>
          <w:sz w:val="28"/>
          <w:szCs w:val="28"/>
        </w:rPr>
        <w:t>；</w:t>
      </w:r>
    </w:p>
    <w:p w14:paraId="129B98E5">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（2）污染源的泄漏或释放已降至规定限值以内</w:t>
      </w:r>
      <w:r>
        <w:rPr>
          <w:rFonts w:hint="eastAsia" w:eastAsia="仿宋"/>
          <w:color w:val="auto"/>
          <w:sz w:val="28"/>
          <w:szCs w:val="28"/>
        </w:rPr>
        <w:t>；</w:t>
      </w:r>
    </w:p>
    <w:p w14:paraId="628EC21F">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（3）突发环境事件所造成的危害已经基本消除，无继发可能</w:t>
      </w:r>
      <w:r>
        <w:rPr>
          <w:rFonts w:hint="eastAsia" w:eastAsia="仿宋"/>
          <w:color w:val="auto"/>
          <w:sz w:val="28"/>
          <w:szCs w:val="28"/>
        </w:rPr>
        <w:t>；</w:t>
      </w:r>
    </w:p>
    <w:p w14:paraId="00A10C57">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（4）现场的各种专业应急处置行动已无继续的必要</w:t>
      </w:r>
      <w:r>
        <w:rPr>
          <w:rFonts w:hint="eastAsia" w:eastAsia="仿宋"/>
          <w:color w:val="auto"/>
          <w:sz w:val="28"/>
          <w:szCs w:val="28"/>
        </w:rPr>
        <w:t>；</w:t>
      </w:r>
    </w:p>
    <w:p w14:paraId="5AD9D3A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（5）采取了必要的防护措施以保护公众免受再次危害，并使事件可能引起的中长期影响趋于合理且尽量低的水平。</w:t>
      </w:r>
    </w:p>
    <w:p w14:paraId="58CC83EF">
      <w:pPr>
        <w:pStyle w:val="6"/>
        <w:bidi w:val="0"/>
        <w:rPr>
          <w:color w:val="auto"/>
        </w:rPr>
      </w:pPr>
      <w:bookmarkStart w:id="329" w:name="_Toc89548238"/>
      <w:bookmarkStart w:id="330" w:name="_Toc922736346"/>
      <w:bookmarkStart w:id="331" w:name="_Toc28681"/>
      <w:bookmarkStart w:id="332" w:name="_Toc89469737"/>
      <w:r>
        <w:rPr>
          <w:color w:val="auto"/>
        </w:rPr>
        <w:t>应急终止程序</w:t>
      </w:r>
      <w:bookmarkEnd w:id="329"/>
      <w:bookmarkEnd w:id="330"/>
      <w:bookmarkEnd w:id="331"/>
      <w:bookmarkEnd w:id="332"/>
    </w:p>
    <w:p w14:paraId="02E1FF47">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（1）应急指挥部确认终止时机，或事件责任单位提出经现场救援指挥部批准</w:t>
      </w:r>
      <w:r>
        <w:rPr>
          <w:rFonts w:hint="eastAsia" w:eastAsia="仿宋"/>
          <w:color w:val="auto"/>
          <w:sz w:val="28"/>
          <w:szCs w:val="28"/>
        </w:rPr>
        <w:t>；</w:t>
      </w:r>
    </w:p>
    <w:p w14:paraId="3B976B4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（2）应急指挥部向所属各专业应急救援队伍下达应急终止命令；</w:t>
      </w:r>
    </w:p>
    <w:p w14:paraId="16AA57B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（3）应急状态终止后，相关环境应急处置人员根据实际情况，继续进行环境监测和评价工作，直至其他补救措施无需继续进行为止。</w:t>
      </w:r>
    </w:p>
    <w:p w14:paraId="23683C7B">
      <w:pPr>
        <w:pStyle w:val="6"/>
        <w:bidi w:val="0"/>
        <w:rPr>
          <w:color w:val="auto"/>
        </w:rPr>
      </w:pPr>
      <w:bookmarkStart w:id="333" w:name="_Toc89469738"/>
      <w:bookmarkStart w:id="334" w:name="_Toc1450352235"/>
      <w:bookmarkStart w:id="335" w:name="_Toc89548239"/>
      <w:bookmarkStart w:id="336" w:name="_Toc31173"/>
      <w:r>
        <w:rPr>
          <w:color w:val="auto"/>
        </w:rPr>
        <w:t>应急终止后的行动</w:t>
      </w:r>
      <w:bookmarkEnd w:id="333"/>
      <w:bookmarkEnd w:id="334"/>
      <w:bookmarkEnd w:id="335"/>
      <w:bookmarkEnd w:id="336"/>
    </w:p>
    <w:p w14:paraId="45965DBA">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（1）应急指挥部指导有关部门及突发环境事件单位查找事件原因，防止类似问题的重复出现</w:t>
      </w:r>
      <w:r>
        <w:rPr>
          <w:rFonts w:hint="eastAsia" w:eastAsia="仿宋"/>
          <w:color w:val="auto"/>
          <w:sz w:val="28"/>
          <w:szCs w:val="28"/>
        </w:rPr>
        <w:t>；</w:t>
      </w:r>
    </w:p>
    <w:p w14:paraId="6824F40C">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（2）有关类别环境事件专业主管部门负责编制特别重大、重大环境事件总结报告，于应急终止后上报</w:t>
      </w:r>
      <w:r>
        <w:rPr>
          <w:rFonts w:hint="eastAsia" w:eastAsia="仿宋"/>
          <w:color w:val="auto"/>
          <w:sz w:val="28"/>
          <w:szCs w:val="28"/>
        </w:rPr>
        <w:t>；</w:t>
      </w:r>
    </w:p>
    <w:p w14:paraId="185C9026">
      <w:pPr>
        <w:adjustRightInd w:val="0"/>
        <w:snapToGrid w:val="0"/>
        <w:spacing w:line="360" w:lineRule="auto"/>
        <w:ind w:left="0" w:firstLine="560" w:firstLineChars="200"/>
        <w:rPr>
          <w:rFonts w:hint="eastAsia" w:eastAsia="仿宋"/>
          <w:color w:val="auto"/>
          <w:sz w:val="28"/>
          <w:szCs w:val="28"/>
        </w:rPr>
      </w:pPr>
      <w:r>
        <w:rPr>
          <w:rFonts w:eastAsia="仿宋"/>
          <w:color w:val="auto"/>
          <w:sz w:val="28"/>
          <w:szCs w:val="28"/>
        </w:rPr>
        <w:t>（3）根据实践经验，有关类别环境事件专业主管部门负责组织对应急预案进行评估，并及时修订环境应急预案</w:t>
      </w:r>
      <w:r>
        <w:rPr>
          <w:rFonts w:hint="eastAsia" w:eastAsia="仿宋"/>
          <w:color w:val="auto"/>
          <w:sz w:val="28"/>
          <w:szCs w:val="28"/>
        </w:rPr>
        <w:t>；</w:t>
      </w:r>
    </w:p>
    <w:p w14:paraId="7CD6978A">
      <w:pPr>
        <w:pStyle w:val="7"/>
        <w:bidi w:val="0"/>
        <w:rPr>
          <w:color w:val="auto"/>
        </w:rPr>
      </w:pPr>
      <w:r>
        <w:rPr>
          <w:color w:val="auto"/>
        </w:rPr>
        <w:t>（4）参加应急行动的部门负责组织、指导环境应急队伍维护、保养应急仪器设备，使之始终保持良好的技术状态。</w:t>
      </w:r>
      <w:bookmarkStart w:id="337" w:name="_Toc89469739"/>
      <w:bookmarkStart w:id="338" w:name="_Toc2130620195"/>
      <w:bookmarkStart w:id="339" w:name="_Toc89548240"/>
    </w:p>
    <w:p w14:paraId="20D6F806">
      <w:pPr>
        <w:pStyle w:val="7"/>
        <w:bidi w:val="0"/>
        <w:rPr>
          <w:color w:val="auto"/>
        </w:rPr>
      </w:pPr>
    </w:p>
    <w:p w14:paraId="763F4E76">
      <w:pPr>
        <w:pStyle w:val="4"/>
        <w:bidi w:val="0"/>
        <w:rPr>
          <w:color w:val="auto"/>
        </w:rPr>
      </w:pPr>
      <w:bookmarkStart w:id="340" w:name="_Toc29464"/>
      <w:r>
        <w:rPr>
          <w:color w:val="auto"/>
        </w:rPr>
        <w:t>后期处置</w:t>
      </w:r>
      <w:bookmarkEnd w:id="337"/>
      <w:bookmarkEnd w:id="338"/>
      <w:bookmarkEnd w:id="339"/>
      <w:bookmarkEnd w:id="340"/>
    </w:p>
    <w:p w14:paraId="414C3A61">
      <w:pPr>
        <w:pStyle w:val="5"/>
        <w:bidi w:val="0"/>
        <w:rPr>
          <w:color w:val="auto"/>
        </w:rPr>
      </w:pPr>
      <w:bookmarkStart w:id="341" w:name="_Toc89548241"/>
      <w:bookmarkStart w:id="342" w:name="_Toc12732"/>
      <w:bookmarkStart w:id="343" w:name="_Toc398733609"/>
      <w:bookmarkStart w:id="344" w:name="_Toc89469740"/>
      <w:bookmarkStart w:id="345" w:name="_Toc43803640"/>
      <w:r>
        <w:rPr>
          <w:color w:val="auto"/>
        </w:rPr>
        <w:t>善后处置</w:t>
      </w:r>
      <w:bookmarkEnd w:id="341"/>
      <w:bookmarkEnd w:id="342"/>
      <w:bookmarkEnd w:id="343"/>
      <w:bookmarkEnd w:id="344"/>
      <w:bookmarkEnd w:id="345"/>
    </w:p>
    <w:p w14:paraId="033F242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突发环境事件紧急处置后，由应急综合协调组组织相关力量及时进行现场清理工作，根据突发环境事件的特征采取合适的方法清除和收集事故现场残留污染物，防止二次污染。</w:t>
      </w:r>
    </w:p>
    <w:p w14:paraId="6D88C62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对于造成生态破坏的突发环境事件，应在事故处理后进行生态监测，并视生态破坏的严重程度，酌情采取相应的生态修复措施。</w:t>
      </w:r>
    </w:p>
    <w:p w14:paraId="421E7EC1">
      <w:pPr>
        <w:pStyle w:val="5"/>
        <w:bidi w:val="0"/>
        <w:rPr>
          <w:color w:val="auto"/>
        </w:rPr>
      </w:pPr>
      <w:bookmarkStart w:id="346" w:name="_Toc89469741"/>
      <w:bookmarkStart w:id="347" w:name="_Toc89548242"/>
      <w:bookmarkStart w:id="348" w:name="_Toc27492"/>
      <w:bookmarkStart w:id="349" w:name="_Toc1768370206"/>
      <w:r>
        <w:rPr>
          <w:color w:val="auto"/>
        </w:rPr>
        <w:t>次生灾害防范</w:t>
      </w:r>
      <w:bookmarkEnd w:id="346"/>
      <w:bookmarkEnd w:id="347"/>
      <w:bookmarkEnd w:id="348"/>
      <w:bookmarkEnd w:id="349"/>
    </w:p>
    <w:p w14:paraId="47A8BD4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次生灾害突发环境事件的特点往往是火灾、爆炸、有毒物质泄漏释放等情况同时存在，尤其是化工企业最为突出，因此，在环境应急事件处置、抢险救援过程中，要尽量避免次生灾害的发生。根据环境风险物质的易燃性、毒性和腐蚀性等特点，可能发生的次生灾害及防范措施如下：</w:t>
      </w:r>
    </w:p>
    <w:p w14:paraId="221212F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（1）易燃物质发生火灾、爆炸后大量消防水的使用对地表水、土壤环境的污染；针对消防水各事故单位必须建立事故应急池，第一时间将事故消防水引入应急事故池；</w:t>
      </w:r>
    </w:p>
    <w:p w14:paraId="4B890AD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（2）易燃物质发生火灾后产生的烟气等有害气体对大气环境的污染；各事故单位和监测人员必须第一时间组织大气环境监测，及时制定人员撤离路线及交通管制措施；</w:t>
      </w:r>
    </w:p>
    <w:p w14:paraId="6181493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（3）毒性和腐蚀性物质泄漏后通过土壤渗到地下水，对水体造成污染；各事故单位应制定三级防控措施，防止环境风险物质通过水、土壤等环境通道进入外环境；</w:t>
      </w:r>
    </w:p>
    <w:p w14:paraId="73CCAAA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（4）毒性和腐蚀性物质泄漏后因不科学收集处置而导致累积性污染。事故应急结束后应由有资质、有处置能力的单位对污染土壤进行规范收集，无害化处置。</w:t>
      </w:r>
    </w:p>
    <w:p w14:paraId="133716F1">
      <w:pPr>
        <w:pStyle w:val="5"/>
        <w:bidi w:val="0"/>
        <w:rPr>
          <w:color w:val="auto"/>
        </w:rPr>
      </w:pPr>
      <w:bookmarkStart w:id="350" w:name="_Toc89469742"/>
      <w:bookmarkStart w:id="351" w:name="_Toc398733610"/>
      <w:bookmarkStart w:id="352" w:name="_Toc15712"/>
      <w:bookmarkStart w:id="353" w:name="_Toc1971861409"/>
      <w:bookmarkStart w:id="354" w:name="_Toc89548243"/>
      <w:r>
        <w:rPr>
          <w:color w:val="auto"/>
        </w:rPr>
        <w:t>调查评估</w:t>
      </w:r>
      <w:bookmarkEnd w:id="350"/>
      <w:bookmarkEnd w:id="351"/>
      <w:bookmarkEnd w:id="352"/>
      <w:bookmarkEnd w:id="353"/>
      <w:bookmarkEnd w:id="354"/>
    </w:p>
    <w:p w14:paraId="062FC08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突发环境污染事故应急程序结束后，事故单位应积极配合</w:t>
      </w:r>
      <w:r>
        <w:rPr>
          <w:rFonts w:hint="eastAsia" w:eastAsia="仿宋"/>
          <w:color w:val="auto"/>
          <w:sz w:val="28"/>
          <w:szCs w:val="28"/>
        </w:rPr>
        <w:t>额尔古纳市</w:t>
      </w:r>
      <w:r>
        <w:rPr>
          <w:rFonts w:eastAsia="仿宋"/>
          <w:color w:val="auto"/>
          <w:sz w:val="28"/>
          <w:szCs w:val="28"/>
        </w:rPr>
        <w:t>应急指挥部组织开展事件调查和取证工作，编写事故调查报告，说明事故原因，确定责任，提出整改和防范措施，写出事故总结。从实际出发，提出科学、有效的补偿和对遭受污染的生态环境进行恢复的建议，并对事故责任单位和有关责任人提出处理意见。</w:t>
      </w:r>
    </w:p>
    <w:p w14:paraId="1D5EB2DE">
      <w:pPr>
        <w:adjustRightInd w:val="0"/>
        <w:snapToGrid w:val="0"/>
        <w:spacing w:line="360" w:lineRule="auto"/>
        <w:ind w:left="0" w:firstLine="560" w:firstLineChars="200"/>
        <w:rPr>
          <w:rFonts w:hint="eastAsia" w:eastAsia="仿宋"/>
          <w:color w:val="auto"/>
          <w:sz w:val="28"/>
          <w:szCs w:val="28"/>
          <w:lang w:val="en-US" w:eastAsia="zh-CN"/>
        </w:rPr>
      </w:pPr>
      <w:r>
        <w:rPr>
          <w:rFonts w:hint="eastAsia" w:eastAsia="仿宋"/>
          <w:color w:val="auto"/>
          <w:sz w:val="28"/>
          <w:szCs w:val="28"/>
          <w:lang w:val="en-US" w:eastAsia="zh-CN"/>
        </w:rPr>
        <w:t>调查评估报告需包含但不限于以下内容：</w:t>
      </w:r>
    </w:p>
    <w:p w14:paraId="216BE2B3">
      <w:pPr>
        <w:adjustRightInd w:val="0"/>
        <w:snapToGrid w:val="0"/>
        <w:spacing w:line="360" w:lineRule="auto"/>
        <w:ind w:left="0" w:firstLine="560" w:firstLineChars="200"/>
        <w:rPr>
          <w:rFonts w:hint="default" w:eastAsia="仿宋"/>
          <w:color w:val="auto"/>
          <w:sz w:val="28"/>
          <w:szCs w:val="28"/>
          <w:lang w:val="en-US" w:eastAsia="zh-CN"/>
        </w:rPr>
      </w:pPr>
      <w:r>
        <w:rPr>
          <w:rFonts w:hint="default" w:eastAsia="仿宋"/>
          <w:color w:val="auto"/>
          <w:sz w:val="28"/>
          <w:szCs w:val="28"/>
          <w:lang w:val="en-US" w:eastAsia="zh-CN"/>
        </w:rPr>
        <w:t>（1）事件发生单位的概况和突发环境事件发生经过；</w:t>
      </w:r>
    </w:p>
    <w:p w14:paraId="55A4E840">
      <w:pPr>
        <w:adjustRightInd w:val="0"/>
        <w:snapToGrid w:val="0"/>
        <w:spacing w:line="360" w:lineRule="auto"/>
        <w:ind w:left="0" w:firstLine="560" w:firstLineChars="200"/>
        <w:rPr>
          <w:rFonts w:hint="default" w:eastAsia="仿宋"/>
          <w:color w:val="auto"/>
          <w:sz w:val="28"/>
          <w:szCs w:val="28"/>
          <w:lang w:val="en-US" w:eastAsia="zh-CN"/>
        </w:rPr>
      </w:pPr>
      <w:r>
        <w:rPr>
          <w:rFonts w:hint="default" w:eastAsia="仿宋"/>
          <w:color w:val="auto"/>
          <w:sz w:val="28"/>
          <w:szCs w:val="28"/>
          <w:lang w:val="en-US" w:eastAsia="zh-CN"/>
        </w:rPr>
        <w:t>（2）事件造成的人身伤亡、直接经济损失，环境污染情况；</w:t>
      </w:r>
    </w:p>
    <w:p w14:paraId="70D9F0AB">
      <w:pPr>
        <w:adjustRightInd w:val="0"/>
        <w:snapToGrid w:val="0"/>
        <w:spacing w:line="360" w:lineRule="auto"/>
        <w:ind w:left="0" w:firstLine="560" w:firstLineChars="200"/>
        <w:rPr>
          <w:rFonts w:hint="default" w:eastAsia="仿宋"/>
          <w:color w:val="auto"/>
          <w:sz w:val="28"/>
          <w:szCs w:val="28"/>
          <w:lang w:val="en-US" w:eastAsia="zh-CN"/>
        </w:rPr>
      </w:pPr>
      <w:r>
        <w:rPr>
          <w:rFonts w:hint="default" w:eastAsia="仿宋"/>
          <w:color w:val="auto"/>
          <w:sz w:val="28"/>
          <w:szCs w:val="28"/>
          <w:lang w:val="en-US" w:eastAsia="zh-CN"/>
        </w:rPr>
        <w:t>（3）事件发生的原因和性质；</w:t>
      </w:r>
    </w:p>
    <w:p w14:paraId="367F0E6D">
      <w:pPr>
        <w:adjustRightInd w:val="0"/>
        <w:snapToGrid w:val="0"/>
        <w:spacing w:line="360" w:lineRule="auto"/>
        <w:ind w:left="0" w:firstLine="560" w:firstLineChars="200"/>
        <w:rPr>
          <w:rFonts w:hint="default" w:eastAsia="仿宋"/>
          <w:color w:val="auto"/>
          <w:sz w:val="28"/>
          <w:szCs w:val="28"/>
          <w:lang w:val="en-US" w:eastAsia="zh-CN"/>
        </w:rPr>
      </w:pPr>
      <w:r>
        <w:rPr>
          <w:rFonts w:hint="default" w:eastAsia="仿宋"/>
          <w:color w:val="auto"/>
          <w:sz w:val="28"/>
          <w:szCs w:val="28"/>
          <w:lang w:val="en-US" w:eastAsia="zh-CN"/>
        </w:rPr>
        <w:t>（4）事件发生单位对环境风险的防范、隐患整改和应急处置情况；</w:t>
      </w:r>
    </w:p>
    <w:p w14:paraId="4761376A">
      <w:pPr>
        <w:adjustRightInd w:val="0"/>
        <w:snapToGrid w:val="0"/>
        <w:spacing w:line="360" w:lineRule="auto"/>
        <w:ind w:left="0" w:firstLine="560" w:firstLineChars="200"/>
        <w:rPr>
          <w:rFonts w:hint="default" w:eastAsia="仿宋"/>
          <w:color w:val="auto"/>
          <w:sz w:val="28"/>
          <w:szCs w:val="28"/>
          <w:lang w:val="en-US" w:eastAsia="zh-CN"/>
        </w:rPr>
      </w:pPr>
      <w:r>
        <w:rPr>
          <w:rFonts w:hint="default" w:eastAsia="仿宋"/>
          <w:color w:val="auto"/>
          <w:sz w:val="28"/>
          <w:szCs w:val="28"/>
          <w:lang w:val="en-US" w:eastAsia="zh-CN"/>
        </w:rPr>
        <w:t>（5）地方政府和相关部门日常监管和应急处置情况；</w:t>
      </w:r>
    </w:p>
    <w:p w14:paraId="1DDC969F">
      <w:pPr>
        <w:adjustRightInd w:val="0"/>
        <w:snapToGrid w:val="0"/>
        <w:spacing w:line="360" w:lineRule="auto"/>
        <w:ind w:left="0" w:firstLine="560" w:firstLineChars="200"/>
        <w:rPr>
          <w:rFonts w:hint="default" w:eastAsia="仿宋"/>
          <w:color w:val="auto"/>
          <w:sz w:val="28"/>
          <w:szCs w:val="28"/>
          <w:lang w:val="en-US" w:eastAsia="zh-CN"/>
        </w:rPr>
      </w:pPr>
      <w:r>
        <w:rPr>
          <w:rFonts w:hint="default" w:eastAsia="仿宋"/>
          <w:color w:val="auto"/>
          <w:sz w:val="28"/>
          <w:szCs w:val="28"/>
          <w:lang w:val="en-US" w:eastAsia="zh-CN"/>
        </w:rPr>
        <w:t>（6）责任认定和对事件发生单位、责任人的处理建议；</w:t>
      </w:r>
    </w:p>
    <w:p w14:paraId="44D50B1D">
      <w:pPr>
        <w:adjustRightInd w:val="0"/>
        <w:snapToGrid w:val="0"/>
        <w:spacing w:line="360" w:lineRule="auto"/>
        <w:ind w:left="0" w:firstLine="560" w:firstLineChars="200"/>
        <w:rPr>
          <w:rFonts w:hint="default" w:eastAsia="仿宋"/>
          <w:color w:val="auto"/>
          <w:sz w:val="28"/>
          <w:szCs w:val="28"/>
          <w:lang w:val="en-US" w:eastAsia="zh-CN"/>
        </w:rPr>
      </w:pPr>
      <w:r>
        <w:rPr>
          <w:rFonts w:hint="default" w:eastAsia="仿宋"/>
          <w:color w:val="auto"/>
          <w:sz w:val="28"/>
          <w:szCs w:val="28"/>
          <w:lang w:val="en-US" w:eastAsia="zh-CN"/>
        </w:rPr>
        <w:t>（7）事件防范和整改措施建议；</w:t>
      </w:r>
    </w:p>
    <w:p w14:paraId="6F74B2F1">
      <w:pPr>
        <w:adjustRightInd w:val="0"/>
        <w:snapToGrid w:val="0"/>
        <w:spacing w:line="360" w:lineRule="auto"/>
        <w:ind w:left="0" w:firstLine="560" w:firstLineChars="200"/>
        <w:rPr>
          <w:rFonts w:hint="default" w:eastAsia="仿宋"/>
          <w:color w:val="auto"/>
          <w:sz w:val="28"/>
          <w:szCs w:val="28"/>
          <w:lang w:val="en-US" w:eastAsia="zh-CN"/>
        </w:rPr>
      </w:pPr>
      <w:r>
        <w:rPr>
          <w:rFonts w:hint="default" w:eastAsia="仿宋"/>
          <w:color w:val="auto"/>
          <w:sz w:val="28"/>
          <w:szCs w:val="28"/>
          <w:lang w:val="en-US" w:eastAsia="zh-CN"/>
        </w:rPr>
        <w:t>（8）其他有必要报告的内容。</w:t>
      </w:r>
    </w:p>
    <w:p w14:paraId="0261B937">
      <w:pPr>
        <w:pStyle w:val="5"/>
        <w:bidi w:val="0"/>
        <w:rPr>
          <w:color w:val="auto"/>
        </w:rPr>
      </w:pPr>
      <w:bookmarkStart w:id="355" w:name="_Toc89548244"/>
      <w:bookmarkStart w:id="356" w:name="_Toc398733611"/>
      <w:bookmarkStart w:id="357" w:name="_Toc27522"/>
      <w:bookmarkStart w:id="358" w:name="_Toc89469743"/>
      <w:bookmarkStart w:id="359" w:name="_Toc1107060559"/>
      <w:r>
        <w:rPr>
          <w:color w:val="auto"/>
        </w:rPr>
        <w:t>恢复重建</w:t>
      </w:r>
      <w:bookmarkEnd w:id="355"/>
      <w:bookmarkEnd w:id="356"/>
      <w:bookmarkEnd w:id="357"/>
      <w:bookmarkEnd w:id="358"/>
      <w:bookmarkEnd w:id="359"/>
    </w:p>
    <w:p w14:paraId="06B3720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事发责任单位在应急终止后应尽快清理事件现场的残留物，对残留污染物进行安全转运或无害化处理，尽量恢复环境的质量和功能；对有放射性污染的现场后期处理以及难降解毒性的危险废物的转运和处理，要严格按环保法律法规要求进行统一管理。对损坏的环保设施和相关设备进行维修，经检测检验合格后方可恢复投入使用。环境监察部门负责对事故现场的后期处理和生态恢复进行监管。应急工作流程见附件3。</w:t>
      </w:r>
    </w:p>
    <w:p w14:paraId="6C2DFE8F">
      <w:pPr>
        <w:pStyle w:val="5"/>
        <w:bidi w:val="0"/>
        <w:rPr>
          <w:color w:val="auto"/>
        </w:rPr>
      </w:pPr>
      <w:bookmarkStart w:id="360" w:name="_Toc89548245"/>
      <w:bookmarkStart w:id="361" w:name="_Toc21005"/>
      <w:bookmarkStart w:id="362" w:name="_Toc89469744"/>
      <w:bookmarkStart w:id="363" w:name="_Toc568497505"/>
      <w:r>
        <w:rPr>
          <w:color w:val="auto"/>
        </w:rPr>
        <w:t>善后赔偿</w:t>
      </w:r>
      <w:bookmarkEnd w:id="360"/>
      <w:bookmarkEnd w:id="361"/>
      <w:bookmarkEnd w:id="362"/>
      <w:bookmarkEnd w:id="363"/>
    </w:p>
    <w:p w14:paraId="5C45043C">
      <w:pPr>
        <w:adjustRightInd w:val="0"/>
        <w:snapToGrid w:val="0"/>
        <w:spacing w:line="360" w:lineRule="auto"/>
        <w:ind w:left="0" w:firstLine="560" w:firstLineChars="200"/>
        <w:rPr>
          <w:rFonts w:hint="eastAsia" w:eastAsia="仿宋"/>
          <w:bCs/>
          <w:color w:val="auto"/>
          <w:sz w:val="28"/>
          <w:szCs w:val="28"/>
        </w:rPr>
      </w:pPr>
      <w:r>
        <w:rPr>
          <w:rFonts w:hint="eastAsia" w:eastAsia="仿宋"/>
          <w:bCs/>
          <w:color w:val="auto"/>
          <w:sz w:val="28"/>
          <w:szCs w:val="28"/>
        </w:rPr>
        <w:t>应急状态终止后，</w:t>
      </w:r>
      <w:r>
        <w:rPr>
          <w:rFonts w:hint="eastAsia" w:eastAsia="仿宋"/>
          <w:bCs/>
          <w:color w:val="auto"/>
          <w:sz w:val="28"/>
          <w:szCs w:val="28"/>
          <w:lang w:val="en-US" w:eastAsia="zh-CN"/>
        </w:rPr>
        <w:t>额尔古纳市</w:t>
      </w:r>
      <w:r>
        <w:rPr>
          <w:rFonts w:hint="eastAsia" w:eastAsia="仿宋"/>
          <w:bCs/>
          <w:color w:val="auto"/>
          <w:sz w:val="28"/>
          <w:szCs w:val="28"/>
        </w:rPr>
        <w:t>人民政府召开相关会议明确受灾人员的安置及损失赔偿方案，制定受灾群众的安全防护措施、疏散措施及患者医疗救护方案。依据附近疾病控制及医疗救治机构的设置和处理能力，制订具有可操作型的处理方案，并做好善后处置工作，包括伤亡救援人员、遇难人员补偿、亲属安置、征用物资补偿，救援费用支付，灾后重建，污染物收集、清理与处理等事项；负责恢复正常工作秩序，消除事故后果和影响，安抚受害和受影响人员，保证社会稳定。</w:t>
      </w:r>
    </w:p>
    <w:p w14:paraId="30938D40">
      <w:pPr>
        <w:adjustRightInd w:val="0"/>
        <w:snapToGrid w:val="0"/>
        <w:spacing w:line="360" w:lineRule="auto"/>
        <w:ind w:left="0" w:firstLine="560" w:firstLineChars="200"/>
        <w:rPr>
          <w:rFonts w:eastAsia="仿宋"/>
          <w:bCs/>
          <w:color w:val="auto"/>
          <w:sz w:val="28"/>
          <w:szCs w:val="28"/>
        </w:rPr>
      </w:pPr>
      <w:r>
        <w:rPr>
          <w:rFonts w:hint="eastAsia" w:eastAsia="仿宋"/>
          <w:bCs/>
          <w:color w:val="auto"/>
          <w:sz w:val="28"/>
          <w:szCs w:val="28"/>
        </w:rPr>
        <w:t>事故发生后，做好遇难者家属的工作，并按国家的相关规定给遇难者家属予以赔偿，由旗财政局联系保险机构开展相关的保险受理和赔付工作</w:t>
      </w:r>
      <w:r>
        <w:rPr>
          <w:rFonts w:eastAsia="仿宋"/>
          <w:bCs/>
          <w:color w:val="auto"/>
          <w:sz w:val="28"/>
          <w:szCs w:val="28"/>
        </w:rPr>
        <w:t>。</w:t>
      </w:r>
    </w:p>
    <w:p w14:paraId="604A96C8">
      <w:pPr>
        <w:pStyle w:val="4"/>
        <w:bidi w:val="0"/>
        <w:rPr>
          <w:color w:val="auto"/>
        </w:rPr>
      </w:pPr>
      <w:bookmarkStart w:id="364" w:name="_Toc29709"/>
      <w:bookmarkStart w:id="365" w:name="_Toc89469745"/>
      <w:bookmarkStart w:id="366" w:name="_Toc89548246"/>
      <w:bookmarkStart w:id="367" w:name="_Toc582821032"/>
      <w:bookmarkStart w:id="368" w:name="_Toc398733597"/>
      <w:r>
        <w:rPr>
          <w:color w:val="auto"/>
        </w:rPr>
        <w:t>应急保障</w:t>
      </w:r>
      <w:bookmarkEnd w:id="364"/>
      <w:bookmarkEnd w:id="365"/>
      <w:bookmarkEnd w:id="366"/>
      <w:bookmarkEnd w:id="367"/>
      <w:bookmarkEnd w:id="368"/>
    </w:p>
    <w:p w14:paraId="4B09ED0E">
      <w:pPr>
        <w:pStyle w:val="5"/>
        <w:bidi w:val="0"/>
        <w:rPr>
          <w:color w:val="auto"/>
        </w:rPr>
      </w:pPr>
      <w:bookmarkStart w:id="369" w:name="_Toc89469746"/>
      <w:bookmarkStart w:id="370" w:name="_Toc89548247"/>
      <w:bookmarkStart w:id="371" w:name="_Toc398733598"/>
      <w:bookmarkStart w:id="372" w:name="_Toc21463"/>
      <w:bookmarkStart w:id="373" w:name="_Toc800170857"/>
      <w:bookmarkStart w:id="374" w:name="_Toc398733612"/>
      <w:r>
        <w:rPr>
          <w:color w:val="auto"/>
        </w:rPr>
        <w:t>人力资源保障</w:t>
      </w:r>
      <w:bookmarkEnd w:id="369"/>
      <w:bookmarkEnd w:id="370"/>
      <w:bookmarkEnd w:id="371"/>
      <w:bookmarkEnd w:id="372"/>
      <w:bookmarkEnd w:id="373"/>
    </w:p>
    <w:p w14:paraId="33632E37">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各级政府相关职能部门和在本市行政区域内有较大环境风险的企业，根据各自的应急职责和特点建立相应的应急救援队伍；定期进行预警、监测、处置等方面的专业技术培训，保证其具有应对突发环境事件的应急响应能力；定期进行演练，提高应急队伍的熟练程度和协调性，验证预案的可行性、各种装备的可靠性。结合</w:t>
      </w:r>
      <w:r>
        <w:rPr>
          <w:rFonts w:hint="eastAsia" w:eastAsia="仿宋"/>
          <w:color w:val="auto"/>
          <w:sz w:val="28"/>
          <w:szCs w:val="28"/>
        </w:rPr>
        <w:t>额尔古纳市企业</w:t>
      </w:r>
      <w:r>
        <w:rPr>
          <w:rFonts w:eastAsia="仿宋"/>
          <w:color w:val="auto"/>
          <w:sz w:val="28"/>
          <w:szCs w:val="28"/>
        </w:rPr>
        <w:t>行业特点，建立环境事件应急处置专家组，为指挥决策和善后处置提供咨询服务。同时，将社会上有较强专业技术能力的部门、企业等纳入到应急救援队伍中，组成应急协作网络，提高环境应急救援能力。</w:t>
      </w:r>
    </w:p>
    <w:p w14:paraId="6D098068">
      <w:pPr>
        <w:pStyle w:val="5"/>
        <w:bidi w:val="0"/>
        <w:rPr>
          <w:color w:val="auto"/>
        </w:rPr>
      </w:pPr>
      <w:bookmarkStart w:id="375" w:name="_Toc89469747"/>
      <w:bookmarkStart w:id="376" w:name="_Toc928996085"/>
      <w:bookmarkStart w:id="377" w:name="_Toc89548248"/>
      <w:bookmarkStart w:id="378" w:name="_Toc398733599"/>
      <w:bookmarkStart w:id="379" w:name="_Toc20234"/>
      <w:r>
        <w:rPr>
          <w:color w:val="auto"/>
        </w:rPr>
        <w:t>经费保障</w:t>
      </w:r>
      <w:bookmarkEnd w:id="375"/>
      <w:bookmarkEnd w:id="376"/>
      <w:bookmarkEnd w:id="377"/>
      <w:bookmarkEnd w:id="378"/>
      <w:bookmarkEnd w:id="379"/>
    </w:p>
    <w:p w14:paraId="1F10B4F2">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突发环境事件应急资金由</w:t>
      </w:r>
      <w:r>
        <w:rPr>
          <w:rFonts w:hint="eastAsia" w:eastAsia="仿宋"/>
          <w:color w:val="auto"/>
          <w:sz w:val="28"/>
          <w:szCs w:val="28"/>
        </w:rPr>
        <w:t>额尔古纳市</w:t>
      </w:r>
      <w:r>
        <w:rPr>
          <w:rFonts w:eastAsia="仿宋"/>
          <w:color w:val="auto"/>
          <w:sz w:val="28"/>
          <w:szCs w:val="28"/>
        </w:rPr>
        <w:t>突发环境事件应急办公室提出预算，经</w:t>
      </w:r>
      <w:r>
        <w:rPr>
          <w:rFonts w:hint="eastAsia" w:eastAsia="仿宋"/>
          <w:color w:val="auto"/>
          <w:sz w:val="28"/>
          <w:szCs w:val="28"/>
        </w:rPr>
        <w:t>额尔古纳市</w:t>
      </w:r>
      <w:r>
        <w:rPr>
          <w:rFonts w:eastAsia="仿宋"/>
          <w:color w:val="auto"/>
          <w:sz w:val="28"/>
          <w:szCs w:val="28"/>
        </w:rPr>
        <w:t>财政局审核后列入</w:t>
      </w:r>
      <w:r>
        <w:rPr>
          <w:rFonts w:hint="eastAsia" w:eastAsia="仿宋"/>
          <w:color w:val="auto"/>
          <w:sz w:val="28"/>
          <w:szCs w:val="28"/>
        </w:rPr>
        <w:t>额尔古纳市</w:t>
      </w:r>
      <w:r>
        <w:rPr>
          <w:rFonts w:eastAsia="仿宋"/>
          <w:color w:val="auto"/>
          <w:sz w:val="28"/>
          <w:szCs w:val="28"/>
        </w:rPr>
        <w:t>突发公共事件应急准备和紧急处置总体经费。</w:t>
      </w:r>
      <w:r>
        <w:rPr>
          <w:rFonts w:hint="eastAsia" w:eastAsia="仿宋"/>
          <w:color w:val="auto"/>
          <w:sz w:val="28"/>
          <w:szCs w:val="28"/>
        </w:rPr>
        <w:t>额尔古纳市</w:t>
      </w:r>
      <w:r>
        <w:rPr>
          <w:rFonts w:eastAsia="仿宋"/>
          <w:color w:val="auto"/>
          <w:sz w:val="28"/>
          <w:szCs w:val="28"/>
        </w:rPr>
        <w:t>财政局负责保障突发环境事件应急经费，建立应急经费快速拨付机制。财政部门要加强对环境突发事件财政应急资金的监督管理，保证专款专用，提高资金使用效益。同时，根据有关规定安排应急工作所需的先期的物资和器材储备资金投入，预备必要的补偿资金；适当安排突发污染事件应急工作经费，保障突发污染事件应急救援体系运转经费，确保突发污染事件预防、监测、处置等工作的顺利进行；会同保险公司等部门做好后期有关资金理赔、补偿工作，储备和保证后期足够的受灾群众安置费用。</w:t>
      </w:r>
    </w:p>
    <w:p w14:paraId="72AAAD10">
      <w:pPr>
        <w:pStyle w:val="5"/>
        <w:bidi w:val="0"/>
        <w:rPr>
          <w:color w:val="auto"/>
        </w:rPr>
      </w:pPr>
      <w:bookmarkStart w:id="380" w:name="_Toc89548249"/>
      <w:bookmarkStart w:id="381" w:name="_Toc398733600"/>
      <w:bookmarkStart w:id="382" w:name="_Toc89469748"/>
      <w:bookmarkStart w:id="383" w:name="_Toc1431086905"/>
      <w:bookmarkStart w:id="384" w:name="_Toc2540"/>
      <w:r>
        <w:rPr>
          <w:color w:val="auto"/>
        </w:rPr>
        <w:t>物资保障</w:t>
      </w:r>
      <w:bookmarkEnd w:id="380"/>
      <w:bookmarkEnd w:id="381"/>
      <w:bookmarkEnd w:id="382"/>
      <w:bookmarkEnd w:id="383"/>
      <w:bookmarkEnd w:id="384"/>
    </w:p>
    <w:p w14:paraId="3EC97D4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（1）有环境风险源的企业或单位，应根据自身风险源的特点贮备一定数量的应急处置物资，具备处置一般性突发环境事件的能力。</w:t>
      </w:r>
    </w:p>
    <w:p w14:paraId="5684EC6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w:t>
      </w:r>
      <w:r>
        <w:rPr>
          <w:rFonts w:hint="eastAsia" w:eastAsia="仿宋"/>
          <w:color w:val="auto"/>
          <w:sz w:val="28"/>
          <w:szCs w:val="28"/>
        </w:rPr>
        <w:t>额尔古纳市人民</w:t>
      </w:r>
      <w:r>
        <w:rPr>
          <w:rFonts w:eastAsia="仿宋"/>
          <w:color w:val="auto"/>
          <w:sz w:val="28"/>
          <w:szCs w:val="28"/>
        </w:rPr>
        <w:t>政府要建立健全环境应急救援物资储备制度，保障应对突发环境事故的物资供应，</w:t>
      </w:r>
      <w:r>
        <w:rPr>
          <w:rFonts w:hint="eastAsia" w:eastAsia="仿宋"/>
          <w:color w:val="auto"/>
          <w:sz w:val="28"/>
          <w:szCs w:val="28"/>
          <w:lang w:val="en-US" w:eastAsia="zh-CN"/>
        </w:rPr>
        <w:t>相关</w:t>
      </w:r>
      <w:r>
        <w:rPr>
          <w:rFonts w:eastAsia="仿宋"/>
          <w:color w:val="auto"/>
          <w:sz w:val="28"/>
          <w:szCs w:val="28"/>
        </w:rPr>
        <w:t>部门负责应急物资的储备和筹集。</w:t>
      </w:r>
      <w:r>
        <w:rPr>
          <w:rFonts w:hint="eastAsia" w:eastAsia="仿宋"/>
          <w:color w:val="auto"/>
          <w:sz w:val="28"/>
          <w:szCs w:val="28"/>
        </w:rPr>
        <w:t>额尔古纳市</w:t>
      </w:r>
      <w:r>
        <w:rPr>
          <w:rFonts w:eastAsia="仿宋"/>
          <w:color w:val="auto"/>
          <w:sz w:val="28"/>
          <w:szCs w:val="28"/>
        </w:rPr>
        <w:t>环境应急物资储备情况详见《</w:t>
      </w:r>
      <w:r>
        <w:rPr>
          <w:rFonts w:hint="eastAsia" w:eastAsia="仿宋"/>
          <w:color w:val="auto"/>
          <w:sz w:val="28"/>
          <w:szCs w:val="28"/>
        </w:rPr>
        <w:t>额尔古纳市</w:t>
      </w:r>
      <w:r>
        <w:rPr>
          <w:rFonts w:eastAsia="仿宋"/>
          <w:color w:val="auto"/>
          <w:sz w:val="28"/>
          <w:szCs w:val="28"/>
        </w:rPr>
        <w:t>应急物资调查报告》。</w:t>
      </w:r>
    </w:p>
    <w:p w14:paraId="2F25563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（3）加强对物资储备的管理，防止储备物资被盗用、挪用、流散和失效，已出现上述情况，要及时予以补充和更新。</w:t>
      </w:r>
    </w:p>
    <w:p w14:paraId="5B968FD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建立健全应急物资储存、调拨和紧急配送系统，建立应急物资启动运行机制，实现应急物资动态储备。</w:t>
      </w:r>
    </w:p>
    <w:p w14:paraId="26F3F6B3">
      <w:pPr>
        <w:pStyle w:val="5"/>
        <w:bidi w:val="0"/>
        <w:rPr>
          <w:color w:val="auto"/>
        </w:rPr>
      </w:pPr>
      <w:bookmarkStart w:id="385" w:name="_Toc89548250"/>
      <w:bookmarkStart w:id="386" w:name="_Toc89469749"/>
      <w:bookmarkStart w:id="387" w:name="_Toc398733601"/>
      <w:bookmarkStart w:id="388" w:name="_Toc460765935"/>
      <w:bookmarkStart w:id="389" w:name="_Toc8002"/>
      <w:r>
        <w:rPr>
          <w:color w:val="auto"/>
        </w:rPr>
        <w:t>装备保障</w:t>
      </w:r>
      <w:bookmarkEnd w:id="385"/>
      <w:bookmarkEnd w:id="386"/>
      <w:bookmarkEnd w:id="387"/>
      <w:bookmarkEnd w:id="388"/>
      <w:bookmarkEnd w:id="389"/>
    </w:p>
    <w:p w14:paraId="14173BEA">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环境应急相关部门及单位要充分发挥职能作用，在积极发挥现有检验、鉴定、监测力量的基础上，</w:t>
      </w:r>
      <w:r>
        <w:rPr>
          <w:rFonts w:hint="eastAsia" w:eastAsia="仿宋"/>
          <w:color w:val="auto"/>
          <w:sz w:val="28"/>
          <w:szCs w:val="28"/>
          <w:lang w:eastAsia="zh-Hans"/>
        </w:rPr>
        <w:t>消防部门目前急需购置一辆多功能抢险救援车</w:t>
      </w:r>
      <w:r>
        <w:rPr>
          <w:rFonts w:eastAsia="仿宋"/>
          <w:color w:val="auto"/>
          <w:sz w:val="28"/>
          <w:szCs w:val="28"/>
          <w:lang w:eastAsia="zh-Hans"/>
        </w:rPr>
        <w:t>，</w:t>
      </w:r>
      <w:r>
        <w:rPr>
          <w:rFonts w:hint="eastAsia" w:eastAsia="仿宋"/>
          <w:color w:val="auto"/>
          <w:sz w:val="28"/>
          <w:szCs w:val="28"/>
          <w:lang w:eastAsia="zh-Hans"/>
        </w:rPr>
        <w:t>在应对环境污染的消杀及有害物质扩散的围堵有很大的作用</w:t>
      </w:r>
      <w:r>
        <w:rPr>
          <w:rFonts w:eastAsia="仿宋"/>
          <w:color w:val="auto"/>
          <w:sz w:val="28"/>
          <w:szCs w:val="28"/>
          <w:lang w:eastAsia="zh-Hans"/>
        </w:rPr>
        <w:t>。</w:t>
      </w:r>
      <w:r>
        <w:rPr>
          <w:rFonts w:hint="eastAsia" w:eastAsia="仿宋"/>
          <w:color w:val="auto"/>
          <w:sz w:val="28"/>
          <w:szCs w:val="28"/>
          <w:lang w:eastAsia="zh-Hans"/>
        </w:rPr>
        <w:t>其它部门</w:t>
      </w:r>
      <w:r>
        <w:rPr>
          <w:rFonts w:eastAsia="仿宋"/>
          <w:color w:val="auto"/>
          <w:sz w:val="28"/>
          <w:szCs w:val="28"/>
        </w:rPr>
        <w:t>根据工作需要和职责要求，加强相关装备（设备）的建设，增加应急处置、快速机动和自身防护装备、物资的储备，不断提高应急监测，动态监控的能力，保证在发生环境事件时能有效防范对环境的污染和扩散。</w:t>
      </w:r>
    </w:p>
    <w:p w14:paraId="0B93AC1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卫生部门做好医疗设施装备、药品储备物资调度工作，实现应急卫生资源的有机整合。根据区域特点和辐射半径，合理布设和建立急救站，确保有效实施现场救治、防疫防病工作。</w:t>
      </w:r>
    </w:p>
    <w:p w14:paraId="17137836">
      <w:pPr>
        <w:pStyle w:val="5"/>
        <w:bidi w:val="0"/>
        <w:rPr>
          <w:color w:val="auto"/>
        </w:rPr>
      </w:pPr>
      <w:bookmarkStart w:id="390" w:name="_Toc89548251"/>
      <w:bookmarkStart w:id="391" w:name="_Toc267038463"/>
      <w:bookmarkStart w:id="392" w:name="_Toc89469750"/>
      <w:bookmarkStart w:id="393" w:name="_Toc27390"/>
      <w:r>
        <w:rPr>
          <w:color w:val="auto"/>
        </w:rPr>
        <w:t>医疗保障</w:t>
      </w:r>
      <w:bookmarkEnd w:id="390"/>
      <w:bookmarkEnd w:id="391"/>
      <w:bookmarkEnd w:id="392"/>
      <w:bookmarkEnd w:id="393"/>
    </w:p>
    <w:p w14:paraId="2A86AD1F">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卫生健康</w:t>
      </w:r>
      <w:r>
        <w:rPr>
          <w:rFonts w:hint="eastAsia" w:eastAsia="仿宋"/>
          <w:color w:val="auto"/>
          <w:sz w:val="28"/>
          <w:szCs w:val="28"/>
          <w:lang w:val="en-US" w:eastAsia="zh-CN"/>
        </w:rPr>
        <w:t>委</w:t>
      </w:r>
      <w:r>
        <w:rPr>
          <w:rFonts w:eastAsia="仿宋"/>
          <w:color w:val="auto"/>
          <w:sz w:val="28"/>
          <w:szCs w:val="28"/>
        </w:rPr>
        <w:t>负责应急处置中的医疗卫生保障，组织协调医疗救护队伍实施医疗救治，并根据突发环境事件的造成人员伤亡的特点，组织落实专用药品及车辆。医疗救护队伍接到指令后迅速到达指定地点实施医疗急救，紧急输送受伤或中毒人员，提供院前急救工作，组织医疗机构实施医疗救护工作，相关医疗专业医院确保后续治疗。</w:t>
      </w:r>
    </w:p>
    <w:p w14:paraId="7FB6F282">
      <w:pPr>
        <w:pStyle w:val="5"/>
        <w:bidi w:val="0"/>
        <w:rPr>
          <w:color w:val="auto"/>
        </w:rPr>
      </w:pPr>
      <w:bookmarkStart w:id="394" w:name="_Toc89548252"/>
      <w:bookmarkStart w:id="395" w:name="_Toc398733603"/>
      <w:bookmarkStart w:id="396" w:name="_Toc89469751"/>
      <w:bookmarkStart w:id="397" w:name="_Toc2946"/>
      <w:bookmarkStart w:id="398" w:name="_Toc2022109058"/>
      <w:r>
        <w:rPr>
          <w:color w:val="auto"/>
        </w:rPr>
        <w:t>交通运输保障</w:t>
      </w:r>
      <w:bookmarkEnd w:id="394"/>
      <w:bookmarkEnd w:id="395"/>
      <w:bookmarkEnd w:id="396"/>
      <w:bookmarkEnd w:id="397"/>
      <w:bookmarkEnd w:id="398"/>
    </w:p>
    <w:p w14:paraId="456186F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完善应急运输协调机制，科学配置使用应急运输力量，形成快速、高效、顺畅、相互协调支持的应急运输系统。</w:t>
      </w:r>
      <w:r>
        <w:rPr>
          <w:rFonts w:hint="eastAsia" w:eastAsia="仿宋"/>
          <w:color w:val="auto"/>
          <w:sz w:val="28"/>
          <w:szCs w:val="28"/>
        </w:rPr>
        <w:t>额尔古纳市</w:t>
      </w:r>
      <w:r>
        <w:rPr>
          <w:rFonts w:eastAsia="仿宋"/>
          <w:color w:val="auto"/>
          <w:sz w:val="28"/>
          <w:szCs w:val="28"/>
        </w:rPr>
        <w:t>人民政府依法建立紧急情况社会交通运输工具的征用程序，确保抢险救灾物资和人员能够及时、安全送达。公安、交通等部门根据需要，组织开辟便捷应急通道，按照要求优先运送应急处置的人员、物资和装备。</w:t>
      </w:r>
    </w:p>
    <w:p w14:paraId="157DFFA7">
      <w:pPr>
        <w:pStyle w:val="5"/>
        <w:bidi w:val="0"/>
        <w:rPr>
          <w:color w:val="auto"/>
        </w:rPr>
      </w:pPr>
      <w:bookmarkStart w:id="399" w:name="_Toc89469752"/>
      <w:bookmarkStart w:id="400" w:name="_Toc398733604"/>
      <w:bookmarkStart w:id="401" w:name="_Toc89548253"/>
      <w:bookmarkStart w:id="402" w:name="_Toc1658224031"/>
      <w:bookmarkStart w:id="403" w:name="_Toc27133"/>
      <w:r>
        <w:rPr>
          <w:color w:val="auto"/>
        </w:rPr>
        <w:t>治安维护</w:t>
      </w:r>
      <w:bookmarkEnd w:id="399"/>
      <w:bookmarkEnd w:id="400"/>
      <w:bookmarkEnd w:id="401"/>
      <w:bookmarkEnd w:id="402"/>
      <w:bookmarkEnd w:id="403"/>
    </w:p>
    <w:p w14:paraId="784D582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公安部门承担应急处置治安总体保障任务。要制定不同类别、级别突发公共事件应急状态下维持治安秩序的行动方案，加强对重点地区、重点场所、重点人群、重要物资和设备的安全保护。开展群众联防，协助公安部门维持治安秩序。</w:t>
      </w:r>
    </w:p>
    <w:p w14:paraId="2C8BB80A">
      <w:pPr>
        <w:pStyle w:val="5"/>
        <w:bidi w:val="0"/>
        <w:rPr>
          <w:color w:val="auto"/>
        </w:rPr>
      </w:pPr>
      <w:bookmarkStart w:id="404" w:name="_Toc89548254"/>
      <w:bookmarkStart w:id="405" w:name="_Toc89469753"/>
      <w:bookmarkStart w:id="406" w:name="_Toc27884"/>
      <w:bookmarkStart w:id="407" w:name="_Toc1876001898"/>
      <w:bookmarkStart w:id="408" w:name="_Toc398733605"/>
      <w:r>
        <w:rPr>
          <w:color w:val="auto"/>
        </w:rPr>
        <w:t>通讯保障</w:t>
      </w:r>
      <w:bookmarkEnd w:id="404"/>
      <w:bookmarkEnd w:id="405"/>
      <w:bookmarkEnd w:id="406"/>
      <w:bookmarkEnd w:id="407"/>
      <w:bookmarkEnd w:id="408"/>
    </w:p>
    <w:p w14:paraId="0D4F31BA">
      <w:pPr>
        <w:adjustRightInd w:val="0"/>
        <w:snapToGrid w:val="0"/>
        <w:spacing w:line="360" w:lineRule="auto"/>
        <w:ind w:left="0" w:firstLine="560" w:firstLineChars="200"/>
        <w:rPr>
          <w:rFonts w:eastAsia="仿宋"/>
          <w:color w:val="auto"/>
          <w:sz w:val="28"/>
          <w:szCs w:val="28"/>
        </w:rPr>
      </w:pPr>
      <w:r>
        <w:rPr>
          <w:rFonts w:eastAsia="仿宋"/>
          <w:color w:val="auto"/>
          <w:sz w:val="28"/>
        </w:rPr>
        <w:t>建立通信系统维护以及信息采集等制度。</w:t>
      </w:r>
      <w:r>
        <w:rPr>
          <w:rFonts w:hint="eastAsia" w:eastAsia="仿宋"/>
          <w:color w:val="auto"/>
          <w:sz w:val="28"/>
        </w:rPr>
        <w:t>额尔古纳市</w:t>
      </w:r>
      <w:r>
        <w:rPr>
          <w:rFonts w:eastAsia="仿宋"/>
          <w:color w:val="auto"/>
          <w:sz w:val="28"/>
        </w:rPr>
        <w:t>突发环境事件应急指挥部各成员单位应配备必要的有线、无线通信器材，至少确定1名节假日及重大活动期间负责人或联络员，并保持24小时通信畅通，确保本预案启动时</w:t>
      </w:r>
      <w:r>
        <w:rPr>
          <w:rFonts w:hint="eastAsia" w:eastAsia="仿宋"/>
          <w:color w:val="auto"/>
          <w:sz w:val="28"/>
        </w:rPr>
        <w:t>额尔古纳市</w:t>
      </w:r>
      <w:r>
        <w:rPr>
          <w:rFonts w:eastAsia="仿宋"/>
          <w:color w:val="auto"/>
          <w:sz w:val="28"/>
        </w:rPr>
        <w:t>环境事故应急指挥部和应急支持保障部门及现场各专业分队间的联络畅通。通信管理部门要及时组织有关基础电信运营企业，保障突发环境事件处置过程中的通信畅通，必要时在现场开通应急通信设施。</w:t>
      </w:r>
    </w:p>
    <w:p w14:paraId="488CC13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呼伦贝尔市生态环境局</w:t>
      </w:r>
      <w:r>
        <w:rPr>
          <w:rFonts w:hint="eastAsia" w:eastAsia="仿宋"/>
          <w:color w:val="auto"/>
          <w:sz w:val="28"/>
          <w:szCs w:val="28"/>
        </w:rPr>
        <w:t>额尔古纳市分局</w:t>
      </w:r>
      <w:r>
        <w:rPr>
          <w:rFonts w:eastAsia="仿宋"/>
          <w:color w:val="auto"/>
          <w:sz w:val="28"/>
          <w:szCs w:val="28"/>
        </w:rPr>
        <w:t>提供相应的污染源或污染物的有关信息支持与保障；</w:t>
      </w:r>
      <w:r>
        <w:rPr>
          <w:rFonts w:hint="eastAsia" w:eastAsia="仿宋"/>
          <w:color w:val="auto"/>
          <w:sz w:val="28"/>
          <w:szCs w:val="28"/>
        </w:rPr>
        <w:t>额尔古纳市</w:t>
      </w:r>
      <w:r>
        <w:rPr>
          <w:rFonts w:eastAsia="仿宋"/>
          <w:color w:val="auto"/>
          <w:sz w:val="28"/>
          <w:szCs w:val="28"/>
        </w:rPr>
        <w:t>气象局提供相关气象数据；</w:t>
      </w:r>
      <w:r>
        <w:rPr>
          <w:rFonts w:hint="eastAsia" w:eastAsia="仿宋"/>
          <w:color w:val="auto"/>
          <w:sz w:val="28"/>
          <w:szCs w:val="28"/>
        </w:rPr>
        <w:t>额尔古纳市</w:t>
      </w:r>
      <w:r>
        <w:rPr>
          <w:rFonts w:eastAsia="仿宋"/>
          <w:color w:val="auto"/>
          <w:sz w:val="28"/>
          <w:szCs w:val="28"/>
        </w:rPr>
        <w:t>水利局提供相关水文数据；</w:t>
      </w:r>
      <w:r>
        <w:rPr>
          <w:rFonts w:hint="eastAsia" w:eastAsia="仿宋"/>
          <w:color w:val="auto"/>
          <w:sz w:val="28"/>
          <w:szCs w:val="28"/>
        </w:rPr>
        <w:t>额尔古纳市</w:t>
      </w:r>
      <w:r>
        <w:rPr>
          <w:rFonts w:eastAsia="仿宋"/>
          <w:color w:val="auto"/>
          <w:sz w:val="28"/>
          <w:szCs w:val="28"/>
        </w:rPr>
        <w:t>应急管理局提供危险化学品存放地点、贮量以及其它相关信息。</w:t>
      </w:r>
    </w:p>
    <w:p w14:paraId="49AA1776">
      <w:pPr>
        <w:pStyle w:val="5"/>
        <w:bidi w:val="0"/>
        <w:rPr>
          <w:color w:val="auto"/>
        </w:rPr>
      </w:pPr>
      <w:bookmarkStart w:id="409" w:name="_Toc89548255"/>
      <w:bookmarkStart w:id="410" w:name="_Toc608994432"/>
      <w:bookmarkStart w:id="411" w:name="_Toc89469754"/>
      <w:bookmarkStart w:id="412" w:name="_Toc11690"/>
      <w:r>
        <w:rPr>
          <w:color w:val="auto"/>
        </w:rPr>
        <w:t>科技支撑</w:t>
      </w:r>
      <w:bookmarkEnd w:id="409"/>
      <w:bookmarkEnd w:id="410"/>
      <w:bookmarkEnd w:id="411"/>
      <w:bookmarkEnd w:id="412"/>
    </w:p>
    <w:p w14:paraId="0938B95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（1）加快突发环境事件应急处置系统的研究和开发，将地理信息系统开发技术应用于突发环境事件应急处置系统；加强环境应急监测能力建设，提高</w:t>
      </w:r>
      <w:r>
        <w:rPr>
          <w:rFonts w:hint="eastAsia" w:eastAsia="仿宋"/>
          <w:color w:val="auto"/>
          <w:sz w:val="28"/>
          <w:szCs w:val="28"/>
        </w:rPr>
        <w:t>额尔古纳市</w:t>
      </w:r>
      <w:r>
        <w:rPr>
          <w:rFonts w:eastAsia="仿宋"/>
          <w:color w:val="auto"/>
          <w:sz w:val="28"/>
          <w:szCs w:val="28"/>
        </w:rPr>
        <w:t>环境应急监测技术水平；加强突发环境事件应急指挥的辅助决策系统的能力建设；</w:t>
      </w:r>
    </w:p>
    <w:p w14:paraId="5344D45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（2）动态调查</w:t>
      </w:r>
      <w:r>
        <w:rPr>
          <w:rFonts w:hint="eastAsia" w:eastAsia="仿宋"/>
          <w:color w:val="auto"/>
          <w:sz w:val="28"/>
          <w:szCs w:val="28"/>
        </w:rPr>
        <w:t>额尔古纳市</w:t>
      </w:r>
      <w:r>
        <w:rPr>
          <w:rFonts w:eastAsia="仿宋"/>
          <w:color w:val="auto"/>
          <w:sz w:val="28"/>
          <w:szCs w:val="28"/>
        </w:rPr>
        <w:t>突发环境事件风险较大的重点企业情况，制定响应的计划，配备自动在线监测装置和信息传递处理系统，提高本市重点污染源的自动实时监测能力建设。</w:t>
      </w:r>
    </w:p>
    <w:p w14:paraId="67F5DACA">
      <w:pPr>
        <w:pStyle w:val="5"/>
        <w:bidi w:val="0"/>
        <w:rPr>
          <w:color w:val="auto"/>
        </w:rPr>
      </w:pPr>
      <w:bookmarkStart w:id="413" w:name="_Toc89469755"/>
      <w:bookmarkStart w:id="414" w:name="_Toc462357022"/>
      <w:bookmarkStart w:id="415" w:name="_Toc24764"/>
      <w:bookmarkStart w:id="416" w:name="_Toc89548256"/>
      <w:r>
        <w:rPr>
          <w:color w:val="auto"/>
        </w:rPr>
        <w:t>应急联动机制</w:t>
      </w:r>
      <w:bookmarkEnd w:id="413"/>
      <w:bookmarkEnd w:id="414"/>
      <w:bookmarkEnd w:id="415"/>
      <w:bookmarkEnd w:id="416"/>
    </w:p>
    <w:p w14:paraId="1407C9E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综合协调组承担应急联动任务，与</w:t>
      </w:r>
      <w:r>
        <w:rPr>
          <w:rFonts w:hint="eastAsia" w:eastAsia="仿宋"/>
          <w:color w:val="auto"/>
          <w:sz w:val="28"/>
          <w:szCs w:val="28"/>
        </w:rPr>
        <w:t>额尔古纳市</w:t>
      </w:r>
      <w:r>
        <w:rPr>
          <w:rFonts w:eastAsia="仿宋"/>
          <w:color w:val="auto"/>
          <w:sz w:val="28"/>
          <w:szCs w:val="28"/>
        </w:rPr>
        <w:t>应急指挥部、</w:t>
      </w:r>
      <w:r>
        <w:rPr>
          <w:rFonts w:hint="eastAsia" w:eastAsia="仿宋"/>
          <w:color w:val="auto"/>
          <w:sz w:val="28"/>
          <w:szCs w:val="28"/>
        </w:rPr>
        <w:t>额尔古纳市</w:t>
      </w:r>
      <w:r>
        <w:rPr>
          <w:rFonts w:eastAsia="仿宋"/>
          <w:color w:val="auto"/>
          <w:sz w:val="28"/>
          <w:szCs w:val="28"/>
        </w:rPr>
        <w:t>人民政府、各乡镇及街道办事处、工业、企业以及呼伦贝尔市人民政府及各部门进行应急联动，提高对建立健全事故应急处置联动机制重要性的认识，建立应急联动机制；准确把握重点，做到事故报告及时、任务分工明确、联动响应迅速、现场处置科学果断，提高</w:t>
      </w:r>
      <w:r>
        <w:rPr>
          <w:rFonts w:hint="eastAsia" w:eastAsia="仿宋"/>
          <w:color w:val="auto"/>
          <w:sz w:val="28"/>
          <w:szCs w:val="28"/>
        </w:rPr>
        <w:t>额尔古纳市</w:t>
      </w:r>
      <w:r>
        <w:rPr>
          <w:rFonts w:eastAsia="仿宋"/>
          <w:color w:val="auto"/>
          <w:sz w:val="28"/>
          <w:szCs w:val="28"/>
        </w:rPr>
        <w:t>应急管理工作水平。</w:t>
      </w:r>
    </w:p>
    <w:p w14:paraId="1AEEEFA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在突发环境事件应急处置过程中，应急办公室应当收集、汇总突发环境事件的有关情况，根据现场实际或征询有关专家意见，对突发环境事件进行综合判断，需要进行联动的，综合协调组直接组织、协调、指挥、调度有关联动单位开展应急联动，突发事件扩大到不可控，需要上级政府等有关单位联动时，由综合协调组负责联动。应急联动工作终止后，应急联动单位应当向应急办公室报告处置情况和有关信息。应急办公室汇总后，上报给应急指挥部，根据事件大小，决定上报上级政府部门。</w:t>
      </w:r>
    </w:p>
    <w:p w14:paraId="27C60D1C">
      <w:pPr>
        <w:pStyle w:val="4"/>
        <w:bidi w:val="0"/>
        <w:rPr>
          <w:color w:val="auto"/>
        </w:rPr>
      </w:pPr>
      <w:bookmarkStart w:id="417" w:name="_Toc89469756"/>
      <w:bookmarkStart w:id="418" w:name="_Toc1238633908"/>
      <w:bookmarkStart w:id="419" w:name="_Toc89548257"/>
      <w:bookmarkStart w:id="420" w:name="_Toc12753"/>
      <w:r>
        <w:rPr>
          <w:color w:val="auto"/>
        </w:rPr>
        <w:t>应急培训及演练</w:t>
      </w:r>
      <w:bookmarkEnd w:id="417"/>
      <w:bookmarkEnd w:id="418"/>
      <w:bookmarkEnd w:id="419"/>
      <w:bookmarkEnd w:id="420"/>
    </w:p>
    <w:bookmarkEnd w:id="374"/>
    <w:p w14:paraId="62B13DA3">
      <w:pPr>
        <w:pStyle w:val="5"/>
        <w:bidi w:val="0"/>
        <w:rPr>
          <w:color w:val="auto"/>
        </w:rPr>
      </w:pPr>
      <w:bookmarkStart w:id="421" w:name="_Toc89469757"/>
      <w:bookmarkStart w:id="422" w:name="_Toc398733613"/>
      <w:bookmarkStart w:id="423" w:name="_Toc24868"/>
      <w:bookmarkStart w:id="424" w:name="_Toc89548258"/>
      <w:bookmarkStart w:id="425" w:name="_Toc13617738"/>
      <w:bookmarkStart w:id="426" w:name="_Toc398733608"/>
      <w:r>
        <w:rPr>
          <w:color w:val="auto"/>
        </w:rPr>
        <w:t>应急预案演练</w:t>
      </w:r>
      <w:bookmarkEnd w:id="421"/>
      <w:bookmarkEnd w:id="422"/>
      <w:bookmarkEnd w:id="423"/>
      <w:bookmarkEnd w:id="424"/>
      <w:bookmarkEnd w:id="425"/>
    </w:p>
    <w:p w14:paraId="63A90C9A">
      <w:pPr>
        <w:adjustRightInd w:val="0"/>
        <w:snapToGrid w:val="0"/>
        <w:spacing w:line="360" w:lineRule="auto"/>
        <w:ind w:left="0" w:firstLine="560" w:firstLineChars="200"/>
        <w:rPr>
          <w:rFonts w:eastAsia="仿宋"/>
          <w:color w:val="auto"/>
          <w:sz w:val="28"/>
          <w:szCs w:val="28"/>
        </w:rPr>
      </w:pPr>
      <w:r>
        <w:rPr>
          <w:rFonts w:hint="eastAsia" w:eastAsia="仿宋"/>
          <w:color w:val="auto"/>
          <w:sz w:val="28"/>
          <w:szCs w:val="28"/>
        </w:rPr>
        <w:t>额尔古纳市</w:t>
      </w:r>
      <w:r>
        <w:rPr>
          <w:rFonts w:eastAsia="仿宋"/>
          <w:color w:val="auto"/>
          <w:sz w:val="28"/>
          <w:szCs w:val="28"/>
        </w:rPr>
        <w:t>突发环境事件应急办公室定期组织不同类型的环境应急实战演练。从实战角度出发，切实提高政府应急救援能力。对可能出现的情况进行模拟演练，特别是要借助消防救援力量开展实战演练，及时发现和解决存在的问题，检验应急预案的针对性、实效性和可操作性，使应急预案得到不断地完善和提高，为处置突发环境事件提供保证。</w:t>
      </w:r>
    </w:p>
    <w:p w14:paraId="6FCEC1D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（1）演练准备</w:t>
      </w:r>
    </w:p>
    <w:p w14:paraId="5D9E3A5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演练前应完成以下前期准备工作：</w:t>
      </w:r>
    </w:p>
    <w:p w14:paraId="7280C1D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1 \* GB3 </w:instrText>
      </w:r>
      <w:r>
        <w:rPr>
          <w:rFonts w:eastAsia="仿宋"/>
          <w:color w:val="auto"/>
          <w:sz w:val="28"/>
          <w:szCs w:val="28"/>
        </w:rPr>
        <w:fldChar w:fldCharType="separate"/>
      </w:r>
      <w:r>
        <w:rPr>
          <w:rFonts w:hint="eastAsia" w:ascii="宋体" w:hAnsi="宋体" w:cs="宋体"/>
          <w:color w:val="auto"/>
          <w:sz w:val="28"/>
          <w:szCs w:val="28"/>
        </w:rPr>
        <w:t>①</w:t>
      </w:r>
      <w:r>
        <w:rPr>
          <w:rFonts w:eastAsia="仿宋"/>
          <w:color w:val="auto"/>
          <w:sz w:val="28"/>
          <w:szCs w:val="28"/>
        </w:rPr>
        <w:fldChar w:fldCharType="end"/>
      </w:r>
      <w:r>
        <w:rPr>
          <w:rFonts w:eastAsia="仿宋"/>
          <w:color w:val="auto"/>
          <w:sz w:val="28"/>
          <w:szCs w:val="28"/>
        </w:rPr>
        <w:t>演练紧急事件的类型，演练地点、日期、时间；</w:t>
      </w:r>
    </w:p>
    <w:p w14:paraId="11980FE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2 \* GB3 </w:instrText>
      </w:r>
      <w:r>
        <w:rPr>
          <w:rFonts w:eastAsia="仿宋"/>
          <w:color w:val="auto"/>
          <w:sz w:val="28"/>
          <w:szCs w:val="28"/>
        </w:rPr>
        <w:fldChar w:fldCharType="separate"/>
      </w:r>
      <w:r>
        <w:rPr>
          <w:rFonts w:hint="eastAsia" w:ascii="宋体" w:hAnsi="宋体" w:cs="宋体"/>
          <w:color w:val="auto"/>
          <w:sz w:val="28"/>
          <w:szCs w:val="28"/>
        </w:rPr>
        <w:t>②</w:t>
      </w:r>
      <w:r>
        <w:rPr>
          <w:rFonts w:eastAsia="仿宋"/>
          <w:color w:val="auto"/>
          <w:sz w:val="28"/>
          <w:szCs w:val="28"/>
        </w:rPr>
        <w:fldChar w:fldCharType="end"/>
      </w:r>
      <w:r>
        <w:rPr>
          <w:rFonts w:eastAsia="仿宋"/>
          <w:color w:val="auto"/>
          <w:sz w:val="28"/>
          <w:szCs w:val="28"/>
        </w:rPr>
        <w:t>参加的人员及其责任内容；</w:t>
      </w:r>
    </w:p>
    <w:p w14:paraId="5605804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3 \* GB3 </w:instrText>
      </w:r>
      <w:r>
        <w:rPr>
          <w:rFonts w:eastAsia="仿宋"/>
          <w:color w:val="auto"/>
          <w:sz w:val="28"/>
          <w:szCs w:val="28"/>
        </w:rPr>
        <w:fldChar w:fldCharType="separate"/>
      </w:r>
      <w:r>
        <w:rPr>
          <w:rFonts w:hint="eastAsia" w:ascii="宋体" w:hAnsi="宋体" w:cs="宋体"/>
          <w:color w:val="auto"/>
          <w:sz w:val="28"/>
          <w:szCs w:val="28"/>
        </w:rPr>
        <w:t>③</w:t>
      </w:r>
      <w:r>
        <w:rPr>
          <w:rFonts w:eastAsia="仿宋"/>
          <w:color w:val="auto"/>
          <w:sz w:val="28"/>
          <w:szCs w:val="28"/>
        </w:rPr>
        <w:fldChar w:fldCharType="end"/>
      </w:r>
      <w:r>
        <w:rPr>
          <w:rFonts w:eastAsia="仿宋"/>
          <w:color w:val="auto"/>
          <w:sz w:val="28"/>
          <w:szCs w:val="28"/>
        </w:rPr>
        <w:t>演练步骤；</w:t>
      </w:r>
    </w:p>
    <w:p w14:paraId="0098B62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4 \* GB3 </w:instrText>
      </w:r>
      <w:r>
        <w:rPr>
          <w:rFonts w:eastAsia="仿宋"/>
          <w:color w:val="auto"/>
          <w:sz w:val="28"/>
          <w:szCs w:val="28"/>
        </w:rPr>
        <w:fldChar w:fldCharType="separate"/>
      </w:r>
      <w:r>
        <w:rPr>
          <w:rFonts w:hint="eastAsia" w:ascii="宋体" w:hAnsi="宋体" w:cs="宋体"/>
          <w:color w:val="auto"/>
          <w:sz w:val="28"/>
          <w:szCs w:val="28"/>
        </w:rPr>
        <w:t>④</w:t>
      </w:r>
      <w:r>
        <w:rPr>
          <w:rFonts w:eastAsia="仿宋"/>
          <w:color w:val="auto"/>
          <w:sz w:val="28"/>
          <w:szCs w:val="28"/>
        </w:rPr>
        <w:fldChar w:fldCharType="end"/>
      </w:r>
      <w:r>
        <w:rPr>
          <w:rFonts w:eastAsia="仿宋"/>
          <w:color w:val="auto"/>
          <w:sz w:val="28"/>
          <w:szCs w:val="28"/>
        </w:rPr>
        <w:t>演练场地的布置，参加人员的选用；</w:t>
      </w:r>
    </w:p>
    <w:p w14:paraId="143218E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5 \* GB3 </w:instrText>
      </w:r>
      <w:r>
        <w:rPr>
          <w:rFonts w:eastAsia="仿宋"/>
          <w:color w:val="auto"/>
          <w:sz w:val="28"/>
          <w:szCs w:val="28"/>
        </w:rPr>
        <w:fldChar w:fldCharType="separate"/>
      </w:r>
      <w:r>
        <w:rPr>
          <w:rFonts w:hint="eastAsia" w:ascii="宋体" w:hAnsi="宋体" w:cs="宋体"/>
          <w:color w:val="auto"/>
          <w:sz w:val="28"/>
          <w:szCs w:val="28"/>
        </w:rPr>
        <w:t>⑤</w:t>
      </w:r>
      <w:r>
        <w:rPr>
          <w:rFonts w:eastAsia="仿宋"/>
          <w:color w:val="auto"/>
          <w:sz w:val="28"/>
          <w:szCs w:val="28"/>
        </w:rPr>
        <w:fldChar w:fldCharType="end"/>
      </w:r>
      <w:r>
        <w:rPr>
          <w:rFonts w:eastAsia="仿宋"/>
          <w:color w:val="auto"/>
          <w:sz w:val="28"/>
          <w:szCs w:val="28"/>
        </w:rPr>
        <w:t>进出演练现场的路线；</w:t>
      </w:r>
    </w:p>
    <w:p w14:paraId="6D19C75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6 \* GB3 </w:instrText>
      </w:r>
      <w:r>
        <w:rPr>
          <w:rFonts w:eastAsia="仿宋"/>
          <w:color w:val="auto"/>
          <w:sz w:val="28"/>
          <w:szCs w:val="28"/>
        </w:rPr>
        <w:fldChar w:fldCharType="separate"/>
      </w:r>
      <w:r>
        <w:rPr>
          <w:rFonts w:hint="eastAsia" w:ascii="宋体" w:hAnsi="宋体" w:cs="宋体"/>
          <w:color w:val="auto"/>
          <w:sz w:val="28"/>
          <w:szCs w:val="28"/>
        </w:rPr>
        <w:t>⑥</w:t>
      </w:r>
      <w:r>
        <w:rPr>
          <w:rFonts w:eastAsia="仿宋"/>
          <w:color w:val="auto"/>
          <w:sz w:val="28"/>
          <w:szCs w:val="28"/>
        </w:rPr>
        <w:fldChar w:fldCharType="end"/>
      </w:r>
      <w:r>
        <w:rPr>
          <w:rFonts w:eastAsia="仿宋"/>
          <w:color w:val="auto"/>
          <w:sz w:val="28"/>
          <w:szCs w:val="28"/>
        </w:rPr>
        <w:t>演练结束的通知程序及终止演练的程序；</w:t>
      </w:r>
    </w:p>
    <w:p w14:paraId="3C1C70A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7 \* GB3 </w:instrText>
      </w:r>
      <w:r>
        <w:rPr>
          <w:rFonts w:eastAsia="仿宋"/>
          <w:color w:val="auto"/>
          <w:sz w:val="28"/>
          <w:szCs w:val="28"/>
        </w:rPr>
        <w:fldChar w:fldCharType="separate"/>
      </w:r>
      <w:r>
        <w:rPr>
          <w:rFonts w:hint="eastAsia" w:ascii="宋体" w:hAnsi="宋体" w:cs="宋体"/>
          <w:color w:val="auto"/>
          <w:sz w:val="28"/>
          <w:szCs w:val="28"/>
        </w:rPr>
        <w:t>⑦</w:t>
      </w:r>
      <w:r>
        <w:rPr>
          <w:rFonts w:eastAsia="仿宋"/>
          <w:color w:val="auto"/>
          <w:sz w:val="28"/>
          <w:szCs w:val="28"/>
        </w:rPr>
        <w:fldChar w:fldCharType="end"/>
      </w:r>
      <w:r>
        <w:rPr>
          <w:rFonts w:eastAsia="仿宋"/>
          <w:color w:val="auto"/>
          <w:sz w:val="28"/>
          <w:szCs w:val="28"/>
        </w:rPr>
        <w:t>演练的讲评方式。</w:t>
      </w:r>
    </w:p>
    <w:p w14:paraId="672D320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（2）演习范围与频次</w:t>
      </w:r>
    </w:p>
    <w:p w14:paraId="0519B76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1 \* GB3 </w:instrText>
      </w:r>
      <w:r>
        <w:rPr>
          <w:rFonts w:eastAsia="仿宋"/>
          <w:color w:val="auto"/>
          <w:sz w:val="28"/>
          <w:szCs w:val="28"/>
        </w:rPr>
        <w:fldChar w:fldCharType="separate"/>
      </w:r>
      <w:r>
        <w:rPr>
          <w:rFonts w:hint="eastAsia" w:ascii="宋体" w:hAnsi="宋体" w:cs="宋体"/>
          <w:color w:val="auto"/>
          <w:sz w:val="28"/>
          <w:szCs w:val="28"/>
        </w:rPr>
        <w:t>①</w:t>
      </w:r>
      <w:r>
        <w:rPr>
          <w:rFonts w:eastAsia="仿宋"/>
          <w:color w:val="auto"/>
          <w:sz w:val="28"/>
          <w:szCs w:val="28"/>
        </w:rPr>
        <w:fldChar w:fldCharType="end"/>
      </w:r>
      <w:r>
        <w:rPr>
          <w:rFonts w:eastAsia="仿宋"/>
          <w:color w:val="auto"/>
          <w:sz w:val="28"/>
          <w:szCs w:val="28"/>
        </w:rPr>
        <w:t>演练范围为</w:t>
      </w:r>
      <w:r>
        <w:rPr>
          <w:rFonts w:hint="eastAsia" w:eastAsia="仿宋"/>
          <w:color w:val="auto"/>
          <w:sz w:val="28"/>
          <w:szCs w:val="28"/>
        </w:rPr>
        <w:t>额尔古纳市</w:t>
      </w:r>
      <w:r>
        <w:rPr>
          <w:rFonts w:eastAsia="仿宋"/>
          <w:color w:val="auto"/>
          <w:sz w:val="28"/>
          <w:szCs w:val="28"/>
        </w:rPr>
        <w:t>境内有可能发生突发环境风险的场所；</w:t>
      </w:r>
    </w:p>
    <w:p w14:paraId="6B2650B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2 \* GB3 </w:instrText>
      </w:r>
      <w:r>
        <w:rPr>
          <w:rFonts w:eastAsia="仿宋"/>
          <w:color w:val="auto"/>
          <w:sz w:val="28"/>
          <w:szCs w:val="28"/>
        </w:rPr>
        <w:fldChar w:fldCharType="separate"/>
      </w:r>
      <w:r>
        <w:rPr>
          <w:rFonts w:hint="eastAsia" w:ascii="宋体" w:hAnsi="宋体" w:cs="宋体"/>
          <w:color w:val="auto"/>
          <w:sz w:val="28"/>
          <w:szCs w:val="28"/>
        </w:rPr>
        <w:t>②</w:t>
      </w:r>
      <w:r>
        <w:rPr>
          <w:rFonts w:eastAsia="仿宋"/>
          <w:color w:val="auto"/>
          <w:sz w:val="28"/>
          <w:szCs w:val="28"/>
        </w:rPr>
        <w:fldChar w:fldCharType="end"/>
      </w:r>
      <w:r>
        <w:rPr>
          <w:rFonts w:eastAsia="仿宋"/>
          <w:color w:val="auto"/>
          <w:sz w:val="28"/>
          <w:szCs w:val="28"/>
        </w:rPr>
        <w:t>应急预案每年进行两次应急演练，桌面推演一次，现场演练一次。</w:t>
      </w:r>
    </w:p>
    <w:p w14:paraId="1822B88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（3）演练内容</w:t>
      </w:r>
    </w:p>
    <w:p w14:paraId="5BA31FD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突发环境事件应急演练内容主要包括以下八个方面：</w:t>
      </w:r>
    </w:p>
    <w:p w14:paraId="715A8E2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1 \* GB3 </w:instrText>
      </w:r>
      <w:r>
        <w:rPr>
          <w:rFonts w:eastAsia="仿宋"/>
          <w:color w:val="auto"/>
          <w:sz w:val="28"/>
          <w:szCs w:val="28"/>
        </w:rPr>
        <w:fldChar w:fldCharType="separate"/>
      </w:r>
      <w:r>
        <w:rPr>
          <w:rFonts w:hint="eastAsia" w:ascii="宋体" w:hAnsi="宋体" w:cs="宋体"/>
          <w:color w:val="auto"/>
          <w:sz w:val="28"/>
          <w:szCs w:val="28"/>
        </w:rPr>
        <w:t>①</w:t>
      </w:r>
      <w:r>
        <w:rPr>
          <w:rFonts w:eastAsia="仿宋"/>
          <w:color w:val="auto"/>
          <w:sz w:val="28"/>
          <w:szCs w:val="28"/>
        </w:rPr>
        <w:fldChar w:fldCharType="end"/>
      </w:r>
      <w:r>
        <w:rPr>
          <w:rFonts w:eastAsia="仿宋"/>
          <w:color w:val="auto"/>
          <w:sz w:val="28"/>
          <w:szCs w:val="28"/>
        </w:rPr>
        <w:t>通信及报警信号的联络；</w:t>
      </w:r>
    </w:p>
    <w:p w14:paraId="2D7E11D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2 \* GB3 </w:instrText>
      </w:r>
      <w:r>
        <w:rPr>
          <w:rFonts w:eastAsia="仿宋"/>
          <w:color w:val="auto"/>
          <w:sz w:val="28"/>
          <w:szCs w:val="28"/>
        </w:rPr>
        <w:fldChar w:fldCharType="separate"/>
      </w:r>
      <w:r>
        <w:rPr>
          <w:rFonts w:hint="eastAsia" w:ascii="宋体" w:hAnsi="宋体" w:cs="宋体"/>
          <w:color w:val="auto"/>
          <w:sz w:val="28"/>
          <w:szCs w:val="28"/>
        </w:rPr>
        <w:t>②</w:t>
      </w:r>
      <w:r>
        <w:rPr>
          <w:rFonts w:eastAsia="仿宋"/>
          <w:color w:val="auto"/>
          <w:sz w:val="28"/>
          <w:szCs w:val="28"/>
        </w:rPr>
        <w:fldChar w:fldCharType="end"/>
      </w:r>
      <w:r>
        <w:rPr>
          <w:rFonts w:eastAsia="仿宋"/>
          <w:color w:val="auto"/>
          <w:sz w:val="28"/>
          <w:szCs w:val="28"/>
        </w:rPr>
        <w:t>急救及医疗；</w:t>
      </w:r>
    </w:p>
    <w:p w14:paraId="2D62348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3 \* GB3 </w:instrText>
      </w:r>
      <w:r>
        <w:rPr>
          <w:rFonts w:eastAsia="仿宋"/>
          <w:color w:val="auto"/>
          <w:sz w:val="28"/>
          <w:szCs w:val="28"/>
        </w:rPr>
        <w:fldChar w:fldCharType="separate"/>
      </w:r>
      <w:r>
        <w:rPr>
          <w:rFonts w:hint="eastAsia" w:ascii="宋体" w:hAnsi="宋体" w:cs="宋体"/>
          <w:color w:val="auto"/>
          <w:sz w:val="28"/>
          <w:szCs w:val="28"/>
        </w:rPr>
        <w:t>③</w:t>
      </w:r>
      <w:r>
        <w:rPr>
          <w:rFonts w:eastAsia="仿宋"/>
          <w:color w:val="auto"/>
          <w:sz w:val="28"/>
          <w:szCs w:val="28"/>
        </w:rPr>
        <w:fldChar w:fldCharType="end"/>
      </w:r>
      <w:r>
        <w:rPr>
          <w:rFonts w:eastAsia="仿宋"/>
          <w:color w:val="auto"/>
          <w:sz w:val="28"/>
          <w:szCs w:val="28"/>
        </w:rPr>
        <w:t>防护指导，包括专业人员的个人防护；</w:t>
      </w:r>
    </w:p>
    <w:p w14:paraId="16BC513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4 \* GB3 </w:instrText>
      </w:r>
      <w:r>
        <w:rPr>
          <w:rFonts w:eastAsia="仿宋"/>
          <w:color w:val="auto"/>
          <w:sz w:val="28"/>
          <w:szCs w:val="28"/>
        </w:rPr>
        <w:fldChar w:fldCharType="separate"/>
      </w:r>
      <w:r>
        <w:rPr>
          <w:rFonts w:hint="eastAsia" w:ascii="宋体" w:hAnsi="宋体" w:cs="宋体"/>
          <w:color w:val="auto"/>
          <w:sz w:val="28"/>
          <w:szCs w:val="28"/>
        </w:rPr>
        <w:t>④</w:t>
      </w:r>
      <w:r>
        <w:rPr>
          <w:rFonts w:eastAsia="仿宋"/>
          <w:color w:val="auto"/>
          <w:sz w:val="28"/>
          <w:szCs w:val="28"/>
        </w:rPr>
        <w:fldChar w:fldCharType="end"/>
      </w:r>
      <w:r>
        <w:rPr>
          <w:rFonts w:eastAsia="仿宋"/>
          <w:color w:val="auto"/>
          <w:sz w:val="28"/>
          <w:szCs w:val="28"/>
        </w:rPr>
        <w:t>各种标志、设置警戒范围及人员控制；</w:t>
      </w:r>
    </w:p>
    <w:p w14:paraId="77FDE95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5 \* GB3 </w:instrText>
      </w:r>
      <w:r>
        <w:rPr>
          <w:rFonts w:eastAsia="仿宋"/>
          <w:color w:val="auto"/>
          <w:sz w:val="28"/>
          <w:szCs w:val="28"/>
        </w:rPr>
        <w:fldChar w:fldCharType="separate"/>
      </w:r>
      <w:r>
        <w:rPr>
          <w:rFonts w:hint="eastAsia" w:ascii="宋体" w:hAnsi="宋体" w:cs="宋体"/>
          <w:color w:val="auto"/>
          <w:sz w:val="28"/>
          <w:szCs w:val="28"/>
        </w:rPr>
        <w:t>⑤</w:t>
      </w:r>
      <w:r>
        <w:rPr>
          <w:rFonts w:eastAsia="仿宋"/>
          <w:color w:val="auto"/>
          <w:sz w:val="28"/>
          <w:szCs w:val="28"/>
        </w:rPr>
        <w:fldChar w:fldCharType="end"/>
      </w:r>
      <w:r>
        <w:rPr>
          <w:rFonts w:eastAsia="仿宋"/>
          <w:color w:val="auto"/>
          <w:sz w:val="28"/>
          <w:szCs w:val="28"/>
        </w:rPr>
        <w:t>周边交通控制及管理；</w:t>
      </w:r>
    </w:p>
    <w:p w14:paraId="758A399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6 \* GB3 </w:instrText>
      </w:r>
      <w:r>
        <w:rPr>
          <w:rFonts w:eastAsia="仿宋"/>
          <w:color w:val="auto"/>
          <w:sz w:val="28"/>
          <w:szCs w:val="28"/>
        </w:rPr>
        <w:fldChar w:fldCharType="separate"/>
      </w:r>
      <w:r>
        <w:rPr>
          <w:rFonts w:hint="eastAsia" w:ascii="宋体" w:hAnsi="宋体" w:cs="宋体"/>
          <w:color w:val="auto"/>
          <w:sz w:val="28"/>
          <w:szCs w:val="28"/>
        </w:rPr>
        <w:t>⑥</w:t>
      </w:r>
      <w:r>
        <w:rPr>
          <w:rFonts w:eastAsia="仿宋"/>
          <w:color w:val="auto"/>
          <w:sz w:val="28"/>
          <w:szCs w:val="28"/>
        </w:rPr>
        <w:fldChar w:fldCharType="end"/>
      </w:r>
      <w:r>
        <w:rPr>
          <w:rFonts w:eastAsia="仿宋"/>
          <w:color w:val="auto"/>
          <w:sz w:val="28"/>
          <w:szCs w:val="28"/>
        </w:rPr>
        <w:t>泄漏污染区域内人员的疏散撤离及人员清查；</w:t>
      </w:r>
    </w:p>
    <w:p w14:paraId="56EB3E3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7 \* GB3 </w:instrText>
      </w:r>
      <w:r>
        <w:rPr>
          <w:rFonts w:eastAsia="仿宋"/>
          <w:color w:val="auto"/>
          <w:sz w:val="28"/>
          <w:szCs w:val="28"/>
        </w:rPr>
        <w:fldChar w:fldCharType="separate"/>
      </w:r>
      <w:r>
        <w:rPr>
          <w:rFonts w:hint="eastAsia" w:ascii="宋体" w:hAnsi="宋体" w:cs="宋体"/>
          <w:color w:val="auto"/>
          <w:sz w:val="28"/>
          <w:szCs w:val="28"/>
        </w:rPr>
        <w:t>⑦</w:t>
      </w:r>
      <w:r>
        <w:rPr>
          <w:rFonts w:eastAsia="仿宋"/>
          <w:color w:val="auto"/>
          <w:sz w:val="28"/>
          <w:szCs w:val="28"/>
        </w:rPr>
        <w:fldChar w:fldCharType="end"/>
      </w:r>
      <w:r>
        <w:rPr>
          <w:rFonts w:eastAsia="仿宋"/>
          <w:color w:val="auto"/>
          <w:sz w:val="28"/>
          <w:szCs w:val="28"/>
        </w:rPr>
        <w:t>向上级报告情况；</w:t>
      </w:r>
    </w:p>
    <w:p w14:paraId="7FB4A54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8 \* GB3 </w:instrText>
      </w:r>
      <w:r>
        <w:rPr>
          <w:rFonts w:eastAsia="仿宋"/>
          <w:color w:val="auto"/>
          <w:sz w:val="28"/>
          <w:szCs w:val="28"/>
        </w:rPr>
        <w:fldChar w:fldCharType="separate"/>
      </w:r>
      <w:r>
        <w:rPr>
          <w:rFonts w:hint="eastAsia" w:ascii="宋体" w:hAnsi="宋体" w:cs="宋体"/>
          <w:color w:val="auto"/>
          <w:sz w:val="28"/>
          <w:szCs w:val="28"/>
        </w:rPr>
        <w:t>⑧</w:t>
      </w:r>
      <w:r>
        <w:rPr>
          <w:rFonts w:eastAsia="仿宋"/>
          <w:color w:val="auto"/>
          <w:sz w:val="28"/>
          <w:szCs w:val="28"/>
        </w:rPr>
        <w:fldChar w:fldCharType="end"/>
      </w:r>
      <w:r>
        <w:rPr>
          <w:rFonts w:eastAsia="仿宋"/>
          <w:color w:val="auto"/>
          <w:sz w:val="28"/>
          <w:szCs w:val="28"/>
        </w:rPr>
        <w:t>事故的善后工作。</w:t>
      </w:r>
    </w:p>
    <w:p w14:paraId="600B569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（4）演练程序</w:t>
      </w:r>
    </w:p>
    <w:p w14:paraId="5124B0C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演练总指挥宣布演练开始。</w:t>
      </w:r>
    </w:p>
    <w:p w14:paraId="54DAB41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1 \* GB3 </w:instrText>
      </w:r>
      <w:r>
        <w:rPr>
          <w:rFonts w:eastAsia="仿宋"/>
          <w:color w:val="auto"/>
          <w:sz w:val="28"/>
          <w:szCs w:val="28"/>
        </w:rPr>
        <w:fldChar w:fldCharType="separate"/>
      </w:r>
      <w:r>
        <w:rPr>
          <w:rFonts w:hint="eastAsia" w:ascii="宋体" w:hAnsi="宋体" w:cs="宋体"/>
          <w:color w:val="auto"/>
          <w:sz w:val="28"/>
          <w:szCs w:val="28"/>
        </w:rPr>
        <w:t>①</w:t>
      </w:r>
      <w:r>
        <w:rPr>
          <w:rFonts w:eastAsia="仿宋"/>
          <w:color w:val="auto"/>
          <w:sz w:val="28"/>
          <w:szCs w:val="28"/>
        </w:rPr>
        <w:fldChar w:fldCharType="end"/>
      </w:r>
      <w:r>
        <w:rPr>
          <w:rFonts w:eastAsia="仿宋"/>
          <w:color w:val="auto"/>
          <w:sz w:val="28"/>
          <w:szCs w:val="28"/>
        </w:rPr>
        <w:t>接警与报告</w:t>
      </w:r>
    </w:p>
    <w:p w14:paraId="4E24D17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应急办公室接到突发环境事故通报，值班人员问清事故情况，了解事故发生的时间、地点、原因、现状、类型、特征，并做好记录告知应急指挥部领导。</w:t>
      </w:r>
    </w:p>
    <w:p w14:paraId="580CBEA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同时，应急办公室立即对接警情况与举报人复核，若无异常情况发生，立即上报应急指挥部领导，经领导研究确认后，下达解除预警令；若情况属实，根据现场情况判断事件级别，立即启动应急预案，进入应急状态。</w:t>
      </w:r>
    </w:p>
    <w:p w14:paraId="221699E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2 \* GB3 </w:instrText>
      </w:r>
      <w:r>
        <w:rPr>
          <w:rFonts w:eastAsia="仿宋"/>
          <w:color w:val="auto"/>
          <w:sz w:val="28"/>
          <w:szCs w:val="28"/>
        </w:rPr>
        <w:fldChar w:fldCharType="separate"/>
      </w:r>
      <w:r>
        <w:rPr>
          <w:rFonts w:hint="eastAsia" w:ascii="宋体" w:hAnsi="宋体" w:cs="宋体"/>
          <w:color w:val="auto"/>
          <w:sz w:val="28"/>
          <w:szCs w:val="28"/>
        </w:rPr>
        <w:t>②</w:t>
      </w:r>
      <w:r>
        <w:rPr>
          <w:rFonts w:eastAsia="仿宋"/>
          <w:color w:val="auto"/>
          <w:sz w:val="28"/>
          <w:szCs w:val="28"/>
        </w:rPr>
        <w:fldChar w:fldCharType="end"/>
      </w:r>
      <w:r>
        <w:rPr>
          <w:rFonts w:eastAsia="仿宋"/>
          <w:color w:val="auto"/>
          <w:sz w:val="28"/>
          <w:szCs w:val="28"/>
        </w:rPr>
        <w:t>进入应急状态</w:t>
      </w:r>
    </w:p>
    <w:p w14:paraId="409CD13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a.启动应急预案，向应急救援组织机构所有成员通报突发事件的初步调查情况；组织救援力量奔赴现场，开展应急救援工作，控制事件发展。</w:t>
      </w:r>
    </w:p>
    <w:p w14:paraId="4BA146A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b、实施现场警戒。在事故现场拉起警戒线，禁止无关人员进入警戒线内。</w:t>
      </w:r>
    </w:p>
    <w:p w14:paraId="391CEED7">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c、实地勘察。重点核实环境污染种类、严重程度，判断风向，查看并记录事故现场状况，包括事故对土壤、水体、大气环境的危害；对人身的伤害；对设备、物体的损害，以及事故的破坏范围和周围环境状况等，进行影音记录。</w:t>
      </w:r>
    </w:p>
    <w:p w14:paraId="1C9F355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3 \* GB3 </w:instrText>
      </w:r>
      <w:r>
        <w:rPr>
          <w:rFonts w:eastAsia="仿宋"/>
          <w:color w:val="auto"/>
          <w:sz w:val="28"/>
          <w:szCs w:val="28"/>
        </w:rPr>
        <w:fldChar w:fldCharType="separate"/>
      </w:r>
      <w:r>
        <w:rPr>
          <w:rFonts w:hint="eastAsia" w:ascii="宋体" w:hAnsi="宋体" w:cs="宋体"/>
          <w:color w:val="auto"/>
          <w:sz w:val="28"/>
          <w:szCs w:val="28"/>
        </w:rPr>
        <w:t>③</w:t>
      </w:r>
      <w:r>
        <w:rPr>
          <w:rFonts w:eastAsia="仿宋"/>
          <w:color w:val="auto"/>
          <w:sz w:val="28"/>
          <w:szCs w:val="28"/>
        </w:rPr>
        <w:fldChar w:fldCharType="end"/>
      </w:r>
      <w:r>
        <w:rPr>
          <w:rFonts w:eastAsia="仿宋"/>
          <w:color w:val="auto"/>
          <w:sz w:val="28"/>
          <w:szCs w:val="28"/>
        </w:rPr>
        <w:t>应急措施</w:t>
      </w:r>
    </w:p>
    <w:p w14:paraId="4B3CA52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企业立即停止作业，并以最快时间保证救援物资到位，协助技术员，监护现场安全、维持现场秩序，对现场进行有效监护。</w:t>
      </w:r>
    </w:p>
    <w:p w14:paraId="10C58A7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4 \* GB3 </w:instrText>
      </w:r>
      <w:r>
        <w:rPr>
          <w:rFonts w:eastAsia="仿宋"/>
          <w:color w:val="auto"/>
          <w:sz w:val="28"/>
          <w:szCs w:val="28"/>
        </w:rPr>
        <w:fldChar w:fldCharType="separate"/>
      </w:r>
      <w:r>
        <w:rPr>
          <w:rFonts w:hint="eastAsia" w:ascii="宋体" w:hAnsi="宋体" w:cs="宋体"/>
          <w:color w:val="auto"/>
          <w:sz w:val="28"/>
          <w:szCs w:val="28"/>
        </w:rPr>
        <w:t>④</w:t>
      </w:r>
      <w:r>
        <w:rPr>
          <w:rFonts w:eastAsia="仿宋"/>
          <w:color w:val="auto"/>
          <w:sz w:val="28"/>
          <w:szCs w:val="28"/>
        </w:rPr>
        <w:fldChar w:fldCharType="end"/>
      </w:r>
      <w:r>
        <w:rPr>
          <w:rFonts w:eastAsia="仿宋"/>
          <w:color w:val="auto"/>
          <w:sz w:val="28"/>
          <w:szCs w:val="28"/>
        </w:rPr>
        <w:t>环境监测</w:t>
      </w:r>
    </w:p>
    <w:p w14:paraId="3922CE8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根据应急需要，及时开展应急监测。判断事件污染程度，提出合理的处置措施。并跟踪事件，持续监测。</w:t>
      </w:r>
    </w:p>
    <w:p w14:paraId="0D4868D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5 \* GB3 </w:instrText>
      </w:r>
      <w:r>
        <w:rPr>
          <w:rFonts w:eastAsia="仿宋"/>
          <w:color w:val="auto"/>
          <w:sz w:val="28"/>
          <w:szCs w:val="28"/>
        </w:rPr>
        <w:fldChar w:fldCharType="separate"/>
      </w:r>
      <w:r>
        <w:rPr>
          <w:rFonts w:hint="eastAsia" w:ascii="宋体" w:hAnsi="宋体" w:cs="宋体"/>
          <w:color w:val="auto"/>
          <w:sz w:val="28"/>
          <w:szCs w:val="28"/>
        </w:rPr>
        <w:t>⑤</w:t>
      </w:r>
      <w:r>
        <w:rPr>
          <w:rFonts w:eastAsia="仿宋"/>
          <w:color w:val="auto"/>
          <w:sz w:val="28"/>
          <w:szCs w:val="28"/>
        </w:rPr>
        <w:fldChar w:fldCharType="end"/>
      </w:r>
      <w:r>
        <w:rPr>
          <w:rFonts w:eastAsia="仿宋"/>
          <w:color w:val="auto"/>
          <w:sz w:val="28"/>
          <w:szCs w:val="28"/>
        </w:rPr>
        <w:t>现场处置</w:t>
      </w:r>
    </w:p>
    <w:p w14:paraId="0E1DF69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根据事件影响采取处置措施，利用应急物资，采取一切措施消除或减轻污染。及时清运污染物。必要时，请求上级政府部门支援，同时做好周围人群的疏散、撤离工作。</w:t>
      </w:r>
    </w:p>
    <w:p w14:paraId="5A28501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6 \* GB3 </w:instrText>
      </w:r>
      <w:r>
        <w:rPr>
          <w:rFonts w:eastAsia="仿宋"/>
          <w:color w:val="auto"/>
          <w:sz w:val="28"/>
          <w:szCs w:val="28"/>
        </w:rPr>
        <w:fldChar w:fldCharType="separate"/>
      </w:r>
      <w:r>
        <w:rPr>
          <w:rFonts w:hint="eastAsia" w:ascii="宋体" w:hAnsi="宋体" w:cs="宋体"/>
          <w:color w:val="auto"/>
          <w:sz w:val="28"/>
          <w:szCs w:val="28"/>
        </w:rPr>
        <w:t>⑥</w:t>
      </w:r>
      <w:r>
        <w:rPr>
          <w:rFonts w:eastAsia="仿宋"/>
          <w:color w:val="auto"/>
          <w:sz w:val="28"/>
          <w:szCs w:val="28"/>
        </w:rPr>
        <w:fldChar w:fldCharType="end"/>
      </w:r>
      <w:r>
        <w:rPr>
          <w:rFonts w:eastAsia="仿宋"/>
          <w:color w:val="auto"/>
          <w:sz w:val="28"/>
          <w:szCs w:val="28"/>
        </w:rPr>
        <w:t>应急终止</w:t>
      </w:r>
    </w:p>
    <w:p w14:paraId="0BFACD3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监测结果显示污染事故已得到有效控制并且区域内环境污染已经基本消除时，应急指挥部总指挥或副总指挥向现场应急小组及参演人群发出停止应急状态令。</w:t>
      </w:r>
    </w:p>
    <w:p w14:paraId="22BE177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fldChar w:fldCharType="begin"/>
      </w:r>
      <w:r>
        <w:rPr>
          <w:rFonts w:eastAsia="仿宋"/>
          <w:color w:val="auto"/>
          <w:sz w:val="28"/>
          <w:szCs w:val="28"/>
        </w:rPr>
        <w:instrText xml:space="preserve"> = 7 \* GB3 </w:instrText>
      </w:r>
      <w:r>
        <w:rPr>
          <w:rFonts w:eastAsia="仿宋"/>
          <w:color w:val="auto"/>
          <w:sz w:val="28"/>
          <w:szCs w:val="28"/>
        </w:rPr>
        <w:fldChar w:fldCharType="separate"/>
      </w:r>
      <w:r>
        <w:rPr>
          <w:rFonts w:hint="eastAsia" w:ascii="宋体" w:hAnsi="宋体" w:cs="宋体"/>
          <w:color w:val="auto"/>
          <w:sz w:val="28"/>
          <w:szCs w:val="28"/>
        </w:rPr>
        <w:t>⑦</w:t>
      </w:r>
      <w:r>
        <w:rPr>
          <w:rFonts w:eastAsia="仿宋"/>
          <w:color w:val="auto"/>
          <w:sz w:val="28"/>
          <w:szCs w:val="28"/>
        </w:rPr>
        <w:fldChar w:fldCharType="end"/>
      </w:r>
      <w:r>
        <w:rPr>
          <w:rFonts w:eastAsia="仿宋"/>
          <w:color w:val="auto"/>
          <w:sz w:val="28"/>
          <w:szCs w:val="28"/>
        </w:rPr>
        <w:t>善后处置</w:t>
      </w:r>
    </w:p>
    <w:p w14:paraId="2C7B743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事故应急状态解除后，现场应急小组停止应急，清点人员和设备器材，并撤离现场，转入善后工作。应急监测组编制应急监测报告。</w:t>
      </w:r>
    </w:p>
    <w:p w14:paraId="5183737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（5）预案的评估与修正</w:t>
      </w:r>
    </w:p>
    <w:p w14:paraId="2F8FBA4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通过对预案演练进行讲评和总结，及时发现突发环境事故应急救援预案中存在的问题，并提出改进的措施，对预案进行完善和修正。</w:t>
      </w:r>
    </w:p>
    <w:p w14:paraId="0427036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（6）演练资料保存</w:t>
      </w:r>
    </w:p>
    <w:p w14:paraId="73DFD9F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对应急演练方案、演练记录、演练总结和相关影像资料进行归档，长期保存。</w:t>
      </w:r>
    </w:p>
    <w:p w14:paraId="77AB32CB">
      <w:pPr>
        <w:pStyle w:val="5"/>
        <w:bidi w:val="0"/>
        <w:rPr>
          <w:color w:val="auto"/>
        </w:rPr>
      </w:pPr>
      <w:bookmarkStart w:id="427" w:name="_Toc89469758"/>
      <w:bookmarkStart w:id="428" w:name="_Toc89548259"/>
      <w:bookmarkStart w:id="429" w:name="_Toc1825"/>
      <w:bookmarkStart w:id="430" w:name="_Toc1240055984"/>
      <w:bookmarkStart w:id="431" w:name="_Toc398733614"/>
      <w:r>
        <w:rPr>
          <w:color w:val="auto"/>
        </w:rPr>
        <w:t>宣教培训</w:t>
      </w:r>
      <w:bookmarkEnd w:id="427"/>
      <w:bookmarkEnd w:id="428"/>
      <w:bookmarkEnd w:id="429"/>
      <w:bookmarkEnd w:id="430"/>
      <w:bookmarkEnd w:id="431"/>
    </w:p>
    <w:p w14:paraId="4773323C">
      <w:pPr>
        <w:pStyle w:val="6"/>
        <w:bidi w:val="0"/>
        <w:rPr>
          <w:color w:val="auto"/>
        </w:rPr>
      </w:pPr>
      <w:bookmarkStart w:id="432" w:name="_Toc89548260"/>
      <w:bookmarkStart w:id="433" w:name="_Toc89469759"/>
      <w:bookmarkStart w:id="434" w:name="_Toc26167"/>
      <w:bookmarkStart w:id="435" w:name="_Toc292128953"/>
      <w:r>
        <w:rPr>
          <w:color w:val="auto"/>
        </w:rPr>
        <w:t>宣传教育</w:t>
      </w:r>
      <w:bookmarkEnd w:id="432"/>
      <w:bookmarkEnd w:id="433"/>
      <w:bookmarkEnd w:id="434"/>
      <w:bookmarkEnd w:id="435"/>
    </w:p>
    <w:p w14:paraId="5B97CB5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w:t>
      </w:r>
      <w:r>
        <w:rPr>
          <w:rFonts w:hint="eastAsia" w:eastAsia="仿宋"/>
          <w:color w:val="auto"/>
          <w:sz w:val="28"/>
          <w:szCs w:val="28"/>
        </w:rPr>
        <w:t>额尔古纳市</w:t>
      </w:r>
      <w:r>
        <w:rPr>
          <w:rFonts w:eastAsia="仿宋"/>
          <w:color w:val="auto"/>
          <w:sz w:val="28"/>
          <w:szCs w:val="28"/>
        </w:rPr>
        <w:t>突发环境事件应急办公室为牵头部门，联合各乡镇/街道、</w:t>
      </w:r>
      <w:r>
        <w:rPr>
          <w:rFonts w:hint="eastAsia" w:eastAsia="仿宋"/>
          <w:color w:val="auto"/>
          <w:sz w:val="28"/>
          <w:szCs w:val="28"/>
        </w:rPr>
        <w:t>产业园区</w:t>
      </w:r>
      <w:r>
        <w:rPr>
          <w:rFonts w:eastAsia="仿宋"/>
          <w:color w:val="auto"/>
          <w:sz w:val="28"/>
          <w:szCs w:val="28"/>
        </w:rPr>
        <w:t>管理办公室和企事业单位，组织开展</w:t>
      </w:r>
      <w:r>
        <w:rPr>
          <w:rFonts w:hint="eastAsia" w:eastAsia="仿宋"/>
          <w:color w:val="auto"/>
          <w:sz w:val="28"/>
          <w:szCs w:val="28"/>
        </w:rPr>
        <w:t>额尔古纳市</w:t>
      </w:r>
      <w:r>
        <w:rPr>
          <w:rFonts w:eastAsia="仿宋"/>
          <w:color w:val="auto"/>
          <w:sz w:val="28"/>
          <w:szCs w:val="28"/>
        </w:rPr>
        <w:t>、各乡镇/街道、企事业单位的突发环境事件应急宣传教育。开展形式多样的应急知识和技能培训服务，做好应急知识、经济避险避难措施、自救自助的普及工作。</w:t>
      </w:r>
    </w:p>
    <w:p w14:paraId="4DF5566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通过报纸、电视、广播等公共媒体有计划地开展突发环境事件应急常识宣传教育，会同有关部门平息各种有关突发公共事件的误传、谣传。编印、发放有毒有害物质污染公众防护“明白卡”，增强公众的防范意识和相关心理准备，提高公众的防范能力。</w:t>
      </w:r>
    </w:p>
    <w:p w14:paraId="4A27B7B3">
      <w:pPr>
        <w:pStyle w:val="6"/>
        <w:bidi w:val="0"/>
        <w:rPr>
          <w:color w:val="auto"/>
        </w:rPr>
      </w:pPr>
      <w:bookmarkStart w:id="436" w:name="_Toc89548261"/>
      <w:bookmarkStart w:id="437" w:name="_Toc89469760"/>
      <w:bookmarkStart w:id="438" w:name="_Toc20224"/>
      <w:bookmarkStart w:id="439" w:name="_Toc663696029"/>
      <w:r>
        <w:rPr>
          <w:color w:val="auto"/>
        </w:rPr>
        <w:t>培训</w:t>
      </w:r>
      <w:bookmarkEnd w:id="436"/>
      <w:bookmarkEnd w:id="437"/>
      <w:bookmarkEnd w:id="438"/>
      <w:bookmarkEnd w:id="439"/>
    </w:p>
    <w:p w14:paraId="2D9462D6">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1.</w:t>
      </w:r>
      <w:r>
        <w:rPr>
          <w:rFonts w:eastAsia="仿宋"/>
          <w:b/>
          <w:color w:val="auto"/>
          <w:sz w:val="28"/>
          <w:szCs w:val="28"/>
        </w:rPr>
        <w:t>培训的内容和方式</w:t>
      </w:r>
    </w:p>
    <w:p w14:paraId="5BCC38D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（1）应急人员培训内容</w:t>
      </w:r>
    </w:p>
    <w:p w14:paraId="3CFC8C9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a.如何识别危险；</w:t>
      </w:r>
    </w:p>
    <w:p w14:paraId="17E9B4C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b.如何启动紧急警报系统；</w:t>
      </w:r>
    </w:p>
    <w:p w14:paraId="6AB3059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c.危险物质泄漏控制措施；</w:t>
      </w:r>
    </w:p>
    <w:p w14:paraId="3292154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d.各种应急设备的使用方法；</w:t>
      </w:r>
    </w:p>
    <w:p w14:paraId="2596567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e.防护用品的佩戴是使用；</w:t>
      </w:r>
    </w:p>
    <w:p w14:paraId="3C6DC25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f.如何安全疏散人群等。</w:t>
      </w:r>
    </w:p>
    <w:p w14:paraId="34645E8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（2）监测人员培训内容</w:t>
      </w:r>
    </w:p>
    <w:p w14:paraId="0CBB78F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a.环境监测技术规范；</w:t>
      </w:r>
    </w:p>
    <w:p w14:paraId="24A8605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b.应急监测的基本方法；</w:t>
      </w:r>
    </w:p>
    <w:p w14:paraId="4025948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c.便携式现场应急监测仪器的使用方法；</w:t>
      </w:r>
    </w:p>
    <w:p w14:paraId="7395366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d.特征污染物和常见污染物的快速监测方法；</w:t>
      </w:r>
    </w:p>
    <w:p w14:paraId="681D978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e.监测布点和频次基本原则；</w:t>
      </w:r>
    </w:p>
    <w:p w14:paraId="199D48F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f.现场监测人员自身防护的要求；</w:t>
      </w:r>
    </w:p>
    <w:p w14:paraId="5CC105C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e.应急监测设备、耗材和试剂的日常维护和保养等。</w:t>
      </w:r>
    </w:p>
    <w:p w14:paraId="3CA512E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（3）公众培训内容</w:t>
      </w:r>
    </w:p>
    <w:p w14:paraId="2982661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a.潜在的重大危险事故及其后果；</w:t>
      </w:r>
    </w:p>
    <w:p w14:paraId="173D598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b.事故警报与通知的规定；</w:t>
      </w:r>
    </w:p>
    <w:p w14:paraId="18B1D44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c.灭火器的使用以及灭火步骤训练；</w:t>
      </w:r>
    </w:p>
    <w:p w14:paraId="04DBB4AD">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d.基本个人防护知识；</w:t>
      </w:r>
    </w:p>
    <w:p w14:paraId="15468AE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e.撤离的组织、方法和程序；</w:t>
      </w:r>
    </w:p>
    <w:p w14:paraId="524E8F4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f.在污染区行动时必须遵守的规则；</w:t>
      </w:r>
    </w:p>
    <w:p w14:paraId="312589B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g.自救与互救的基本常识。</w:t>
      </w:r>
    </w:p>
    <w:p w14:paraId="46E95D4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（4）培训的方式</w:t>
      </w:r>
    </w:p>
    <w:p w14:paraId="38AB66C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培训的形式可以根据实际特点，采取多种形式进行。如定期开设培训班、上课、事故讲座、广播、发放宣传资料以及利用厂区内黑板报和墙报等，使教育培训形象生动。</w:t>
      </w:r>
    </w:p>
    <w:p w14:paraId="0CFB009D">
      <w:pPr>
        <w:adjustRightInd w:val="0"/>
        <w:snapToGrid w:val="0"/>
        <w:spacing w:line="360" w:lineRule="auto"/>
        <w:ind w:left="0" w:firstLine="562" w:firstLineChars="200"/>
        <w:rPr>
          <w:rFonts w:eastAsia="仿宋"/>
          <w:b/>
          <w:color w:val="auto"/>
          <w:sz w:val="28"/>
          <w:szCs w:val="28"/>
        </w:rPr>
      </w:pPr>
      <w:r>
        <w:rPr>
          <w:rFonts w:hint="eastAsia" w:eastAsia="仿宋"/>
          <w:b/>
          <w:color w:val="auto"/>
          <w:sz w:val="28"/>
          <w:szCs w:val="28"/>
          <w:lang w:val="en-US" w:eastAsia="zh-CN"/>
        </w:rPr>
        <w:t>2.</w:t>
      </w:r>
      <w:r>
        <w:rPr>
          <w:rFonts w:eastAsia="仿宋"/>
          <w:b/>
          <w:color w:val="auto"/>
          <w:sz w:val="28"/>
          <w:szCs w:val="28"/>
        </w:rPr>
        <w:t>培训的要求</w:t>
      </w:r>
    </w:p>
    <w:p w14:paraId="5D2E286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针对性：针对可能的环境事故情景及承担的的应急职责，不同的人员不同的内容；</w:t>
      </w:r>
    </w:p>
    <w:p w14:paraId="05F1488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周期性：培训有一定的周期，一般至少一年进行一次。</w:t>
      </w:r>
    </w:p>
    <w:p w14:paraId="7ABBD07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定期性：定期进行技能培训；</w:t>
      </w:r>
    </w:p>
    <w:p w14:paraId="6D77A4C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真实性；尽量贴近实际应急活动。</w:t>
      </w:r>
    </w:p>
    <w:p w14:paraId="68AC4403">
      <w:pPr>
        <w:pStyle w:val="4"/>
        <w:bidi w:val="0"/>
        <w:rPr>
          <w:color w:val="auto"/>
        </w:rPr>
      </w:pPr>
      <w:bookmarkStart w:id="440" w:name="_Toc709096885"/>
      <w:bookmarkStart w:id="441" w:name="_Toc89469761"/>
      <w:bookmarkStart w:id="442" w:name="_Toc89548262"/>
      <w:bookmarkStart w:id="443" w:name="_Toc22263"/>
      <w:r>
        <w:rPr>
          <w:color w:val="auto"/>
        </w:rPr>
        <w:t>奖惩措施</w:t>
      </w:r>
      <w:bookmarkEnd w:id="440"/>
      <w:bookmarkEnd w:id="441"/>
      <w:bookmarkEnd w:id="442"/>
      <w:bookmarkEnd w:id="443"/>
    </w:p>
    <w:p w14:paraId="4317E7F4">
      <w:pPr>
        <w:pStyle w:val="5"/>
        <w:bidi w:val="0"/>
        <w:rPr>
          <w:color w:val="auto"/>
        </w:rPr>
      </w:pPr>
      <w:bookmarkStart w:id="444" w:name="_Toc1404588992"/>
      <w:bookmarkStart w:id="445" w:name="_Toc89469762"/>
      <w:bookmarkStart w:id="446" w:name="_Toc89548263"/>
      <w:bookmarkStart w:id="447" w:name="_Toc15055"/>
      <w:r>
        <w:rPr>
          <w:color w:val="auto"/>
        </w:rPr>
        <w:t>表彰与奖励</w:t>
      </w:r>
      <w:bookmarkEnd w:id="444"/>
      <w:bookmarkEnd w:id="445"/>
      <w:bookmarkEnd w:id="446"/>
      <w:bookmarkEnd w:id="447"/>
    </w:p>
    <w:p w14:paraId="14047A4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在突发环境事件应急救援、处置中，有下列事迹之一的单位和个人，依据有关规定由单位和</w:t>
      </w:r>
      <w:r>
        <w:rPr>
          <w:rFonts w:hint="eastAsia" w:eastAsia="仿宋"/>
          <w:color w:val="auto"/>
          <w:sz w:val="28"/>
          <w:szCs w:val="28"/>
        </w:rPr>
        <w:t>额尔古纳市</w:t>
      </w:r>
      <w:r>
        <w:rPr>
          <w:rFonts w:eastAsia="仿宋"/>
          <w:color w:val="auto"/>
          <w:sz w:val="28"/>
          <w:szCs w:val="28"/>
        </w:rPr>
        <w:t>人民政府给予表彰和奖励：</w:t>
      </w:r>
    </w:p>
    <w:p w14:paraId="79E25A1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（1）在应急救援、处置污染事件中，组织严密，指挥得当，严防有力，奋力抢险，出色完成任务的；</w:t>
      </w:r>
    </w:p>
    <w:p w14:paraId="78A0519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（2）对防止或挽救突发环境事件有功，使国家、集体、和人民生命财产免受或者减少损失的；</w:t>
      </w:r>
    </w:p>
    <w:p w14:paraId="7B9BDFF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（3）及时准确报送重大事件预警信息和动态信息，为救援、处置事件赢得时间，成效显著的；</w:t>
      </w:r>
    </w:p>
    <w:p w14:paraId="7506353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（4）为突发环境事件的处置提出重大建议，实施效果显著的；</w:t>
      </w:r>
    </w:p>
    <w:p w14:paraId="5345F08C">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（5）有其他特殊贡献的。</w:t>
      </w:r>
    </w:p>
    <w:p w14:paraId="52D196DD">
      <w:pPr>
        <w:pStyle w:val="5"/>
        <w:bidi w:val="0"/>
        <w:rPr>
          <w:color w:val="auto"/>
        </w:rPr>
      </w:pPr>
      <w:bookmarkStart w:id="448" w:name="_Toc89548264"/>
      <w:bookmarkStart w:id="449" w:name="_Toc1786940720"/>
      <w:bookmarkStart w:id="450" w:name="_Toc5118"/>
      <w:bookmarkStart w:id="451" w:name="_Toc89469763"/>
      <w:r>
        <w:rPr>
          <w:color w:val="auto"/>
        </w:rPr>
        <w:t>责任追究</w:t>
      </w:r>
      <w:bookmarkEnd w:id="448"/>
      <w:bookmarkEnd w:id="449"/>
      <w:bookmarkEnd w:id="450"/>
      <w:bookmarkEnd w:id="451"/>
    </w:p>
    <w:p w14:paraId="46B584C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在突发环境事件应急工作中，有下列行为之一的，按照有关规定，对有关责任人员视情节和危害后果，由其所在单位或上级主管机关给予行政处分；其中，对国家行政机关人员，由任免机关或者监察机关给予行政处分；构成犯罪的，由司法机关依法追究刑事责任：</w:t>
      </w:r>
    </w:p>
    <w:p w14:paraId="1F5257E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（1）不认真履行环保法律、法规，而引发环境事件的；</w:t>
      </w:r>
    </w:p>
    <w:p w14:paraId="4772B7E6">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（2）不按照规定制定突发环境事件应急预案，拒绝承担突发环境事件应急准备义务的；</w:t>
      </w:r>
    </w:p>
    <w:p w14:paraId="76FB35B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（3）不按照规定报告、通报突发环境事件真实情况的；</w:t>
      </w:r>
    </w:p>
    <w:p w14:paraId="584DFC8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（4）拒不执行突发环境事件应急工作命令，不服从指挥，或者在事件应急响应时临阵脱逃的；</w:t>
      </w:r>
    </w:p>
    <w:p w14:paraId="41479409">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（5）盗窃、贪污、挪用环境事件应急工作资金、装备和物资的；</w:t>
      </w:r>
    </w:p>
    <w:p w14:paraId="2BA6482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（6）阻碍环境事件应急工作人员依法执行职务或者进行破坏活动的；</w:t>
      </w:r>
    </w:p>
    <w:p w14:paraId="0C829A5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（7）散布谣言，扰乱社会秩序的；</w:t>
      </w:r>
    </w:p>
    <w:p w14:paraId="75668E3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（8）其他对环境事件应急工作造成危害的行为。</w:t>
      </w:r>
    </w:p>
    <w:p w14:paraId="320E642F">
      <w:pPr>
        <w:pStyle w:val="4"/>
        <w:bidi w:val="0"/>
        <w:rPr>
          <w:color w:val="auto"/>
        </w:rPr>
      </w:pPr>
      <w:bookmarkStart w:id="452" w:name="_Toc553877745"/>
      <w:bookmarkStart w:id="453" w:name="_Toc89469764"/>
      <w:bookmarkStart w:id="454" w:name="_Toc89548265"/>
      <w:bookmarkStart w:id="455" w:name="_Toc21112"/>
      <w:bookmarkStart w:id="456" w:name="_Toc398733616"/>
      <w:r>
        <w:rPr>
          <w:color w:val="auto"/>
        </w:rPr>
        <w:t>附则</w:t>
      </w:r>
      <w:bookmarkEnd w:id="452"/>
      <w:bookmarkEnd w:id="453"/>
      <w:bookmarkEnd w:id="454"/>
      <w:bookmarkEnd w:id="455"/>
      <w:bookmarkEnd w:id="456"/>
    </w:p>
    <w:bookmarkEnd w:id="426"/>
    <w:p w14:paraId="34BBD227">
      <w:pPr>
        <w:pStyle w:val="5"/>
        <w:bidi w:val="0"/>
        <w:rPr>
          <w:color w:val="auto"/>
        </w:rPr>
      </w:pPr>
      <w:bookmarkStart w:id="457" w:name="_Toc89548266"/>
      <w:bookmarkStart w:id="458" w:name="_Toc398733617"/>
      <w:bookmarkStart w:id="459" w:name="_Toc89469765"/>
      <w:bookmarkStart w:id="460" w:name="_Toc28774"/>
      <w:bookmarkStart w:id="461" w:name="_Toc1829134117"/>
      <w:r>
        <w:rPr>
          <w:color w:val="auto"/>
        </w:rPr>
        <w:t>名词解释</w:t>
      </w:r>
      <w:bookmarkEnd w:id="457"/>
      <w:bookmarkEnd w:id="458"/>
      <w:bookmarkEnd w:id="459"/>
      <w:bookmarkEnd w:id="460"/>
      <w:bookmarkEnd w:id="461"/>
    </w:p>
    <w:p w14:paraId="691AA5D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环境事件：是指由于违反环境保护法律法规的经济、社会活动与行为，以及意外因素的影响或不可抗拒的自然灾害等原因致使环境受到污染，人体健康受到危害，社会经济与人民群众财产受到损失，造成不良社会影响的突发性事件。</w:t>
      </w:r>
    </w:p>
    <w:p w14:paraId="1147C53E">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突发环境事件：由于污染物排放或自然灾害、生产安全事故等因素，导致污染物或放射性物质等有毒有害物质进入大气、水体、土壤等环境介质，突然造成或可能造成环境质量下降，危及公众身体健康和财产安全，或造成生态环境破坏，或造成重大社会影响，需要采取紧急措施予以应对的事件，主要包括大气污染、水体污染、土壤污染等突发性环境污染事件和辐射污染事件。</w:t>
      </w:r>
    </w:p>
    <w:p w14:paraId="3A5BD9E3">
      <w:pPr>
        <w:adjustRightInd w:val="0"/>
        <w:snapToGrid w:val="0"/>
        <w:spacing w:line="360" w:lineRule="auto"/>
        <w:ind w:left="0" w:firstLine="560" w:firstLineChars="200"/>
        <w:rPr>
          <w:rFonts w:eastAsia="仿宋"/>
          <w:color w:val="auto"/>
          <w:sz w:val="28"/>
          <w:szCs w:val="28"/>
        </w:rPr>
      </w:pPr>
      <w:r>
        <w:rPr>
          <w:rFonts w:eastAsia="仿宋"/>
          <w:color w:val="auto"/>
          <w:sz w:val="28"/>
          <w:szCs w:val="28"/>
        </w:rPr>
        <mc:AlternateContent>
          <mc:Choice Requires="wps">
            <w:drawing>
              <wp:anchor distT="0" distB="0" distL="114300" distR="114300" simplePos="0" relativeHeight="251661312" behindDoc="0" locked="0" layoutInCell="1" allowOverlap="1">
                <wp:simplePos x="0" y="0"/>
                <wp:positionH relativeFrom="page">
                  <wp:posOffset>-2147483640</wp:posOffset>
                </wp:positionH>
                <wp:positionV relativeFrom="page">
                  <wp:posOffset>-2147483640</wp:posOffset>
                </wp:positionV>
                <wp:extent cx="5795645" cy="7088505"/>
                <wp:effectExtent l="4445" t="4445" r="10160" b="12700"/>
                <wp:wrapSquare wrapText="largest"/>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795645" cy="7088505"/>
                        </a:xfrm>
                        <a:prstGeom prst="rect">
                          <a:avLst/>
                        </a:prstGeom>
                        <a:noFill/>
                        <a:ln w="9525">
                          <a:solidFill>
                            <a:srgbClr val="000000"/>
                          </a:solidFill>
                          <a:miter lim="800000"/>
                        </a:ln>
                        <a:effectLst/>
                      </wps:spPr>
                      <wps:txbx>
                        <w:txbxContent>
                          <w:tbl>
                            <w:tblPr>
                              <w:tblStyle w:val="21"/>
                              <w:tblW w:w="0" w:type="auto"/>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578"/>
                              <w:gridCol w:w="2568"/>
                              <w:gridCol w:w="793"/>
                              <w:gridCol w:w="1604"/>
                              <w:gridCol w:w="1218"/>
                              <w:gridCol w:w="1349"/>
                              <w:gridCol w:w="1014"/>
                            </w:tblGrid>
                            <w:tr w14:paraId="2A71118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6E969723">
                                  <w:pPr>
                                    <w:pStyle w:val="31"/>
                                    <w:spacing w:line="277" w:lineRule="atLeast"/>
                                    <w:jc w:val="center"/>
                                    <w:textAlignment w:val="center"/>
                                    <w:rPr>
                                      <w:color w:val="000000"/>
                                      <w:sz w:val="21"/>
                                    </w:rPr>
                                  </w:pPr>
                                  <w:r>
                                    <w:rPr>
                                      <w:color w:val="000000"/>
                                      <w:sz w:val="21"/>
                                    </w:rPr>
                                    <w:t>序号</w:t>
                                  </w:r>
                                </w:p>
                              </w:tc>
                              <w:tc>
                                <w:tcPr>
                                  <w:tcW w:w="2568" w:type="dxa"/>
                                  <w:tcBorders>
                                    <w:bottom w:val="single" w:color="000000" w:sz="4" w:space="0"/>
                                    <w:right w:val="single" w:color="000000" w:sz="4" w:space="0"/>
                                  </w:tcBorders>
                                  <w:noWrap w:val="0"/>
                                  <w:vAlign w:val="center"/>
                                </w:tcPr>
                                <w:p w14:paraId="221366F3">
                                  <w:pPr>
                                    <w:pStyle w:val="31"/>
                                    <w:spacing w:line="277" w:lineRule="atLeast"/>
                                    <w:jc w:val="center"/>
                                    <w:textAlignment w:val="center"/>
                                    <w:rPr>
                                      <w:color w:val="000000"/>
                                      <w:sz w:val="21"/>
                                    </w:rPr>
                                  </w:pPr>
                                  <w:r>
                                    <w:rPr>
                                      <w:color w:val="000000"/>
                                      <w:sz w:val="21"/>
                                    </w:rPr>
                                    <w:t>单位名称</w:t>
                                  </w:r>
                                </w:p>
                              </w:tc>
                              <w:tc>
                                <w:tcPr>
                                  <w:tcW w:w="793" w:type="dxa"/>
                                  <w:tcBorders>
                                    <w:bottom w:val="single" w:color="000000" w:sz="4" w:space="0"/>
                                    <w:right w:val="single" w:color="000000" w:sz="4" w:space="0"/>
                                  </w:tcBorders>
                                  <w:noWrap w:val="0"/>
                                  <w:vAlign w:val="center"/>
                                </w:tcPr>
                                <w:p w14:paraId="7F9A783D">
                                  <w:pPr>
                                    <w:pStyle w:val="31"/>
                                    <w:spacing w:line="277" w:lineRule="atLeast"/>
                                    <w:jc w:val="center"/>
                                    <w:textAlignment w:val="center"/>
                                    <w:rPr>
                                      <w:color w:val="000000"/>
                                      <w:sz w:val="21"/>
                                    </w:rPr>
                                  </w:pPr>
                                  <w:r>
                                    <w:rPr>
                                      <w:color w:val="000000"/>
                                      <w:sz w:val="21"/>
                                    </w:rPr>
                                    <w:t>法定</w:t>
                                  </w:r>
                                </w:p>
                                <w:p w14:paraId="6B784A67">
                                  <w:pPr>
                                    <w:pStyle w:val="31"/>
                                    <w:spacing w:line="277" w:lineRule="atLeast"/>
                                    <w:jc w:val="center"/>
                                    <w:textAlignment w:val="center"/>
                                    <w:rPr>
                                      <w:color w:val="000000"/>
                                      <w:sz w:val="21"/>
                                    </w:rPr>
                                  </w:pPr>
                                  <w:r>
                                    <w:rPr>
                                      <w:color w:val="000000"/>
                                      <w:sz w:val="21"/>
                                    </w:rPr>
                                    <w:t>代表人</w:t>
                                  </w:r>
                                </w:p>
                              </w:tc>
                              <w:tc>
                                <w:tcPr>
                                  <w:tcW w:w="1604" w:type="dxa"/>
                                  <w:tcBorders>
                                    <w:bottom w:val="single" w:color="000000" w:sz="4" w:space="0"/>
                                    <w:right w:val="single" w:color="000000" w:sz="4" w:space="0"/>
                                  </w:tcBorders>
                                  <w:noWrap w:val="0"/>
                                  <w:vAlign w:val="center"/>
                                </w:tcPr>
                                <w:p w14:paraId="6DA28B45">
                                  <w:pPr>
                                    <w:pStyle w:val="31"/>
                                    <w:spacing w:line="277" w:lineRule="atLeast"/>
                                    <w:jc w:val="center"/>
                                    <w:textAlignment w:val="center"/>
                                    <w:rPr>
                                      <w:color w:val="000000"/>
                                      <w:sz w:val="21"/>
                                    </w:rPr>
                                  </w:pPr>
                                  <w:r>
                                    <w:rPr>
                                      <w:color w:val="000000"/>
                                      <w:sz w:val="21"/>
                                    </w:rPr>
                                    <w:t>所属行政区</w:t>
                                  </w:r>
                                </w:p>
                              </w:tc>
                              <w:tc>
                                <w:tcPr>
                                  <w:tcW w:w="1218" w:type="dxa"/>
                                  <w:tcBorders>
                                    <w:bottom w:val="single" w:color="000000" w:sz="4" w:space="0"/>
                                    <w:right w:val="single" w:color="000000" w:sz="4" w:space="0"/>
                                  </w:tcBorders>
                                  <w:noWrap w:val="0"/>
                                  <w:vAlign w:val="center"/>
                                </w:tcPr>
                                <w:p w14:paraId="753FEAC6">
                                  <w:pPr>
                                    <w:pStyle w:val="31"/>
                                    <w:spacing w:line="277" w:lineRule="atLeast"/>
                                    <w:jc w:val="center"/>
                                    <w:textAlignment w:val="center"/>
                                    <w:rPr>
                                      <w:color w:val="000000"/>
                                      <w:sz w:val="21"/>
                                    </w:rPr>
                                  </w:pPr>
                                  <w:r>
                                    <w:rPr>
                                      <w:color w:val="000000"/>
                                      <w:sz w:val="21"/>
                                    </w:rPr>
                                    <w:t>行业类别</w:t>
                                  </w:r>
                                </w:p>
                              </w:tc>
                              <w:tc>
                                <w:tcPr>
                                  <w:tcW w:w="1349" w:type="dxa"/>
                                  <w:tcBorders>
                                    <w:bottom w:val="single" w:color="000000" w:sz="4" w:space="0"/>
                                    <w:right w:val="single" w:color="000000" w:sz="4" w:space="0"/>
                                  </w:tcBorders>
                                  <w:noWrap w:val="0"/>
                                  <w:vAlign w:val="center"/>
                                </w:tcPr>
                                <w:p w14:paraId="024A85E9">
                                  <w:pPr>
                                    <w:pStyle w:val="31"/>
                                    <w:spacing w:line="277" w:lineRule="atLeast"/>
                                    <w:jc w:val="center"/>
                                    <w:textAlignment w:val="center"/>
                                    <w:rPr>
                                      <w:color w:val="000000"/>
                                      <w:sz w:val="21"/>
                                    </w:rPr>
                                  </w:pPr>
                                  <w:r>
                                    <w:rPr>
                                      <w:color w:val="000000"/>
                                      <w:sz w:val="21"/>
                                    </w:rPr>
                                    <w:t>联系电话</w:t>
                                  </w:r>
                                </w:p>
                              </w:tc>
                              <w:tc>
                                <w:tcPr>
                                  <w:tcW w:w="1014" w:type="dxa"/>
                                  <w:tcBorders>
                                    <w:bottom w:val="single" w:color="000000" w:sz="4" w:space="0"/>
                                  </w:tcBorders>
                                  <w:noWrap w:val="0"/>
                                  <w:vAlign w:val="center"/>
                                </w:tcPr>
                                <w:p w14:paraId="73ED0F20">
                                  <w:pPr>
                                    <w:pStyle w:val="31"/>
                                    <w:spacing w:line="277" w:lineRule="atLeast"/>
                                    <w:jc w:val="center"/>
                                    <w:textAlignment w:val="center"/>
                                    <w:rPr>
                                      <w:color w:val="000000"/>
                                      <w:sz w:val="21"/>
                                    </w:rPr>
                                  </w:pPr>
                                  <w:r>
                                    <w:rPr>
                                      <w:color w:val="000000"/>
                                      <w:sz w:val="21"/>
                                    </w:rPr>
                                    <w:t>填报时间</w:t>
                                  </w:r>
                                </w:p>
                              </w:tc>
                            </w:tr>
                            <w:tr w14:paraId="60C80E6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42585F53">
                                  <w:pPr>
                                    <w:pStyle w:val="31"/>
                                    <w:spacing w:line="277" w:lineRule="atLeast"/>
                                    <w:jc w:val="center"/>
                                    <w:textAlignment w:val="center"/>
                                    <w:rPr>
                                      <w:color w:val="000000"/>
                                      <w:sz w:val="21"/>
                                    </w:rPr>
                                  </w:pPr>
                                  <w:r>
                                    <w:rPr>
                                      <w:color w:val="000000"/>
                                      <w:sz w:val="21"/>
                                    </w:rPr>
                                    <w:t>1</w:t>
                                  </w:r>
                                </w:p>
                              </w:tc>
                              <w:tc>
                                <w:tcPr>
                                  <w:tcW w:w="2568" w:type="dxa"/>
                                  <w:tcBorders>
                                    <w:bottom w:val="single" w:color="000000" w:sz="4" w:space="0"/>
                                    <w:right w:val="single" w:color="000000" w:sz="4" w:space="0"/>
                                  </w:tcBorders>
                                  <w:noWrap w:val="0"/>
                                  <w:vAlign w:val="center"/>
                                </w:tcPr>
                                <w:p w14:paraId="294BA4A4">
                                  <w:pPr>
                                    <w:pStyle w:val="31"/>
                                    <w:spacing w:line="277" w:lineRule="atLeast"/>
                                    <w:textAlignment w:val="center"/>
                                    <w:rPr>
                                      <w:color w:val="000000"/>
                                      <w:sz w:val="21"/>
                                    </w:rPr>
                                  </w:pPr>
                                  <w:r>
                                    <w:rPr>
                                      <w:rFonts w:hint="eastAsia"/>
                                      <w:color w:val="000000"/>
                                      <w:sz w:val="21"/>
                                    </w:rPr>
                                    <w:t>额尔古纳市</w:t>
                                  </w:r>
                                  <w:r>
                                    <w:rPr>
                                      <w:color w:val="000000"/>
                                      <w:sz w:val="21"/>
                                    </w:rPr>
                                    <w:t>金泰镁业化工有限公司</w:t>
                                  </w:r>
                                </w:p>
                              </w:tc>
                              <w:tc>
                                <w:tcPr>
                                  <w:tcW w:w="793" w:type="dxa"/>
                                  <w:tcBorders>
                                    <w:bottom w:val="single" w:color="000000" w:sz="4" w:space="0"/>
                                    <w:right w:val="single" w:color="000000" w:sz="4" w:space="0"/>
                                  </w:tcBorders>
                                  <w:noWrap w:val="0"/>
                                  <w:vAlign w:val="center"/>
                                </w:tcPr>
                                <w:p w14:paraId="6987A6F2">
                                  <w:pPr>
                                    <w:pStyle w:val="31"/>
                                    <w:spacing w:line="277" w:lineRule="atLeast"/>
                                    <w:jc w:val="center"/>
                                    <w:textAlignment w:val="center"/>
                                    <w:rPr>
                                      <w:color w:val="000000"/>
                                      <w:sz w:val="21"/>
                                    </w:rPr>
                                  </w:pPr>
                                  <w:r>
                                    <w:rPr>
                                      <w:color w:val="000000"/>
                                      <w:sz w:val="21"/>
                                    </w:rPr>
                                    <w:t>王文明</w:t>
                                  </w:r>
                                </w:p>
                              </w:tc>
                              <w:tc>
                                <w:tcPr>
                                  <w:tcW w:w="1604" w:type="dxa"/>
                                  <w:tcBorders>
                                    <w:bottom w:val="single" w:color="000000" w:sz="4" w:space="0"/>
                                    <w:right w:val="single" w:color="000000" w:sz="4" w:space="0"/>
                                  </w:tcBorders>
                                  <w:noWrap w:val="0"/>
                                  <w:vAlign w:val="center"/>
                                </w:tcPr>
                                <w:p w14:paraId="75691341">
                                  <w:pPr>
                                    <w:pStyle w:val="31"/>
                                    <w:spacing w:line="277" w:lineRule="atLeast"/>
                                    <w:textAlignment w:val="center"/>
                                    <w:rPr>
                                      <w:color w:val="000000"/>
                                      <w:sz w:val="21"/>
                                    </w:rPr>
                                  </w:pPr>
                                  <w:r>
                                    <w:rPr>
                                      <w:color w:val="000000"/>
                                      <w:sz w:val="21"/>
                                    </w:rPr>
                                    <w:t>陕西省榆林市</w:t>
                                  </w:r>
                                </w:p>
                                <w:p w14:paraId="7206661C">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65112028">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15826E50">
                                  <w:pPr>
                                    <w:pStyle w:val="31"/>
                                    <w:spacing w:line="277" w:lineRule="atLeast"/>
                                    <w:jc w:val="center"/>
                                    <w:textAlignment w:val="center"/>
                                    <w:rPr>
                                      <w:color w:val="000000"/>
                                      <w:sz w:val="21"/>
                                    </w:rPr>
                                  </w:pPr>
                                  <w:r>
                                    <w:rPr>
                                      <w:color w:val="000000"/>
                                      <w:sz w:val="21"/>
                                    </w:rPr>
                                    <w:t>0912-8452995</w:t>
                                  </w:r>
                                </w:p>
                              </w:tc>
                              <w:tc>
                                <w:tcPr>
                                  <w:tcW w:w="1014" w:type="dxa"/>
                                  <w:tcBorders>
                                    <w:bottom w:val="single" w:color="000000" w:sz="4" w:space="0"/>
                                  </w:tcBorders>
                                  <w:noWrap w:val="0"/>
                                  <w:vAlign w:val="center"/>
                                </w:tcPr>
                                <w:p w14:paraId="3150C462">
                                  <w:pPr>
                                    <w:pStyle w:val="31"/>
                                    <w:spacing w:line="277" w:lineRule="atLeast"/>
                                    <w:jc w:val="center"/>
                                    <w:textAlignment w:val="center"/>
                                    <w:rPr>
                                      <w:color w:val="000000"/>
                                      <w:sz w:val="21"/>
                                    </w:rPr>
                                  </w:pPr>
                                  <w:r>
                                    <w:rPr>
                                      <w:color w:val="000000"/>
                                      <w:sz w:val="21"/>
                                    </w:rPr>
                                    <w:t>2010.8.6</w:t>
                                  </w:r>
                                </w:p>
                              </w:tc>
                            </w:tr>
                            <w:tr w14:paraId="75FBE25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4857420A">
                                  <w:pPr>
                                    <w:pStyle w:val="31"/>
                                    <w:spacing w:line="277" w:lineRule="atLeast"/>
                                    <w:jc w:val="center"/>
                                    <w:textAlignment w:val="center"/>
                                    <w:rPr>
                                      <w:color w:val="000000"/>
                                      <w:sz w:val="21"/>
                                    </w:rPr>
                                  </w:pPr>
                                  <w:r>
                                    <w:rPr>
                                      <w:color w:val="000000"/>
                                      <w:sz w:val="21"/>
                                    </w:rPr>
                                    <w:t>2</w:t>
                                  </w:r>
                                </w:p>
                              </w:tc>
                              <w:tc>
                                <w:tcPr>
                                  <w:tcW w:w="2568" w:type="dxa"/>
                                  <w:tcBorders>
                                    <w:bottom w:val="single" w:color="000000" w:sz="4" w:space="0"/>
                                    <w:right w:val="single" w:color="000000" w:sz="4" w:space="0"/>
                                  </w:tcBorders>
                                  <w:noWrap w:val="0"/>
                                  <w:vAlign w:val="center"/>
                                </w:tcPr>
                                <w:p w14:paraId="331C0A0A">
                                  <w:pPr>
                                    <w:pStyle w:val="31"/>
                                    <w:spacing w:line="277" w:lineRule="atLeast"/>
                                    <w:textAlignment w:val="center"/>
                                    <w:rPr>
                                      <w:color w:val="000000"/>
                                      <w:sz w:val="21"/>
                                    </w:rPr>
                                  </w:pPr>
                                  <w:r>
                                    <w:rPr>
                                      <w:color w:val="000000"/>
                                      <w:sz w:val="21"/>
                                    </w:rPr>
                                    <w:t>神木县四海煤化工有限责任公司</w:t>
                                  </w:r>
                                </w:p>
                              </w:tc>
                              <w:tc>
                                <w:tcPr>
                                  <w:tcW w:w="793" w:type="dxa"/>
                                  <w:tcBorders>
                                    <w:bottom w:val="single" w:color="000000" w:sz="4" w:space="0"/>
                                    <w:right w:val="single" w:color="000000" w:sz="4" w:space="0"/>
                                  </w:tcBorders>
                                  <w:noWrap w:val="0"/>
                                  <w:vAlign w:val="center"/>
                                </w:tcPr>
                                <w:p w14:paraId="09EA6C2A">
                                  <w:pPr>
                                    <w:pStyle w:val="31"/>
                                    <w:spacing w:line="277" w:lineRule="atLeast"/>
                                    <w:jc w:val="center"/>
                                    <w:textAlignment w:val="center"/>
                                    <w:rPr>
                                      <w:color w:val="000000"/>
                                      <w:sz w:val="21"/>
                                    </w:rPr>
                                  </w:pPr>
                                  <w:r>
                                    <w:rPr>
                                      <w:color w:val="000000"/>
                                      <w:sz w:val="21"/>
                                    </w:rPr>
                                    <w:t>尚文智</w:t>
                                  </w:r>
                                </w:p>
                              </w:tc>
                              <w:tc>
                                <w:tcPr>
                                  <w:tcW w:w="1604" w:type="dxa"/>
                                  <w:tcBorders>
                                    <w:bottom w:val="single" w:color="000000" w:sz="4" w:space="0"/>
                                    <w:right w:val="single" w:color="000000" w:sz="4" w:space="0"/>
                                  </w:tcBorders>
                                  <w:noWrap w:val="0"/>
                                  <w:vAlign w:val="center"/>
                                </w:tcPr>
                                <w:p w14:paraId="39109705">
                                  <w:pPr>
                                    <w:pStyle w:val="31"/>
                                    <w:spacing w:line="277" w:lineRule="atLeast"/>
                                    <w:textAlignment w:val="center"/>
                                    <w:rPr>
                                      <w:color w:val="000000"/>
                                      <w:sz w:val="21"/>
                                    </w:rPr>
                                  </w:pPr>
                                  <w:r>
                                    <w:rPr>
                                      <w:color w:val="000000"/>
                                      <w:sz w:val="21"/>
                                    </w:rPr>
                                    <w:t>陕西省榆林市</w:t>
                                  </w:r>
                                </w:p>
                                <w:p w14:paraId="5C0DC32C">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3EE86DB5">
                                  <w:pPr>
                                    <w:pStyle w:val="31"/>
                                    <w:spacing w:line="277" w:lineRule="atLeast"/>
                                    <w:jc w:val="center"/>
                                    <w:textAlignment w:val="center"/>
                                    <w:rPr>
                                      <w:color w:val="000000"/>
                                      <w:sz w:val="21"/>
                                    </w:rPr>
                                  </w:pPr>
                                  <w:r>
                                    <w:rPr>
                                      <w:color w:val="000000"/>
                                      <w:sz w:val="21"/>
                                    </w:rPr>
                                    <w:t>炼焦</w:t>
                                  </w:r>
                                </w:p>
                              </w:tc>
                              <w:tc>
                                <w:tcPr>
                                  <w:tcW w:w="1349" w:type="dxa"/>
                                  <w:tcBorders>
                                    <w:bottom w:val="single" w:color="000000" w:sz="4" w:space="0"/>
                                    <w:right w:val="single" w:color="000000" w:sz="4" w:space="0"/>
                                  </w:tcBorders>
                                  <w:noWrap w:val="0"/>
                                  <w:vAlign w:val="center"/>
                                </w:tcPr>
                                <w:p w14:paraId="575F8CFB">
                                  <w:pPr>
                                    <w:pStyle w:val="31"/>
                                    <w:spacing w:line="277" w:lineRule="atLeast"/>
                                    <w:jc w:val="center"/>
                                    <w:textAlignment w:val="center"/>
                                    <w:rPr>
                                      <w:color w:val="000000"/>
                                      <w:sz w:val="21"/>
                                    </w:rPr>
                                  </w:pPr>
                                  <w:r>
                                    <w:rPr>
                                      <w:color w:val="000000"/>
                                      <w:sz w:val="21"/>
                                    </w:rPr>
                                    <w:t>0912-8025009</w:t>
                                  </w:r>
                                </w:p>
                              </w:tc>
                              <w:tc>
                                <w:tcPr>
                                  <w:tcW w:w="1014" w:type="dxa"/>
                                  <w:tcBorders>
                                    <w:bottom w:val="single" w:color="000000" w:sz="4" w:space="0"/>
                                  </w:tcBorders>
                                  <w:noWrap w:val="0"/>
                                  <w:vAlign w:val="center"/>
                                </w:tcPr>
                                <w:p w14:paraId="3172F7F6">
                                  <w:pPr>
                                    <w:pStyle w:val="31"/>
                                    <w:spacing w:line="277" w:lineRule="atLeast"/>
                                    <w:jc w:val="center"/>
                                    <w:textAlignment w:val="center"/>
                                    <w:rPr>
                                      <w:color w:val="000000"/>
                                      <w:sz w:val="21"/>
                                    </w:rPr>
                                  </w:pPr>
                                  <w:r>
                                    <w:rPr>
                                      <w:color w:val="000000"/>
                                      <w:sz w:val="21"/>
                                    </w:rPr>
                                    <w:t>2010.8.3</w:t>
                                  </w:r>
                                </w:p>
                              </w:tc>
                            </w:tr>
                            <w:tr w14:paraId="2BD63D4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3CCE8E12">
                                  <w:pPr>
                                    <w:pStyle w:val="31"/>
                                    <w:spacing w:line="277" w:lineRule="atLeast"/>
                                    <w:jc w:val="center"/>
                                    <w:textAlignment w:val="center"/>
                                    <w:rPr>
                                      <w:color w:val="000000"/>
                                      <w:sz w:val="21"/>
                                    </w:rPr>
                                  </w:pPr>
                                  <w:r>
                                    <w:rPr>
                                      <w:color w:val="000000"/>
                                      <w:sz w:val="21"/>
                                    </w:rPr>
                                    <w:t>3</w:t>
                                  </w:r>
                                </w:p>
                              </w:tc>
                              <w:tc>
                                <w:tcPr>
                                  <w:tcW w:w="2568" w:type="dxa"/>
                                  <w:tcBorders>
                                    <w:bottom w:val="single" w:color="000000" w:sz="4" w:space="0"/>
                                    <w:right w:val="single" w:color="000000" w:sz="4" w:space="0"/>
                                  </w:tcBorders>
                                  <w:noWrap w:val="0"/>
                                  <w:vAlign w:val="center"/>
                                </w:tcPr>
                                <w:p w14:paraId="53980E49">
                                  <w:pPr>
                                    <w:pStyle w:val="31"/>
                                    <w:spacing w:line="277" w:lineRule="atLeast"/>
                                    <w:textAlignment w:val="center"/>
                                    <w:rPr>
                                      <w:color w:val="000000"/>
                                      <w:sz w:val="21"/>
                                    </w:rPr>
                                  </w:pPr>
                                  <w:r>
                                    <w:rPr>
                                      <w:color w:val="000000"/>
                                      <w:sz w:val="21"/>
                                    </w:rPr>
                                    <w:t>陕西恒源煤电集团电化有限公司</w:t>
                                  </w:r>
                                </w:p>
                              </w:tc>
                              <w:tc>
                                <w:tcPr>
                                  <w:tcW w:w="793" w:type="dxa"/>
                                  <w:tcBorders>
                                    <w:bottom w:val="single" w:color="000000" w:sz="4" w:space="0"/>
                                    <w:right w:val="single" w:color="000000" w:sz="4" w:space="0"/>
                                  </w:tcBorders>
                                  <w:noWrap w:val="0"/>
                                  <w:vAlign w:val="center"/>
                                </w:tcPr>
                                <w:p w14:paraId="62857B92">
                                  <w:pPr>
                                    <w:pStyle w:val="31"/>
                                    <w:spacing w:line="277" w:lineRule="atLeast"/>
                                    <w:jc w:val="center"/>
                                    <w:textAlignment w:val="center"/>
                                    <w:rPr>
                                      <w:color w:val="000000"/>
                                      <w:sz w:val="21"/>
                                    </w:rPr>
                                  </w:pPr>
                                  <w:r>
                                    <w:rPr>
                                      <w:color w:val="000000"/>
                                      <w:sz w:val="21"/>
                                    </w:rPr>
                                    <w:t>高光胜</w:t>
                                  </w:r>
                                </w:p>
                              </w:tc>
                              <w:tc>
                                <w:tcPr>
                                  <w:tcW w:w="1604" w:type="dxa"/>
                                  <w:tcBorders>
                                    <w:bottom w:val="single" w:color="000000" w:sz="4" w:space="0"/>
                                    <w:right w:val="single" w:color="000000" w:sz="4" w:space="0"/>
                                  </w:tcBorders>
                                  <w:noWrap w:val="0"/>
                                  <w:vAlign w:val="center"/>
                                </w:tcPr>
                                <w:p w14:paraId="3E2B971F">
                                  <w:pPr>
                                    <w:pStyle w:val="31"/>
                                    <w:spacing w:line="277" w:lineRule="atLeast"/>
                                    <w:textAlignment w:val="center"/>
                                    <w:rPr>
                                      <w:color w:val="000000"/>
                                      <w:sz w:val="21"/>
                                    </w:rPr>
                                  </w:pPr>
                                  <w:r>
                                    <w:rPr>
                                      <w:color w:val="000000"/>
                                      <w:sz w:val="21"/>
                                    </w:rPr>
                                    <w:t>陕西省榆林市</w:t>
                                  </w:r>
                                </w:p>
                                <w:p w14:paraId="1157E24D">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4A846E83">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1F77D7D2">
                                  <w:pPr>
                                    <w:pStyle w:val="31"/>
                                    <w:spacing w:line="277" w:lineRule="atLeast"/>
                                    <w:jc w:val="center"/>
                                    <w:textAlignment w:val="center"/>
                                    <w:rPr>
                                      <w:color w:val="000000"/>
                                      <w:sz w:val="21"/>
                                    </w:rPr>
                                  </w:pPr>
                                  <w:r>
                                    <w:rPr>
                                      <w:color w:val="000000"/>
                                      <w:sz w:val="21"/>
                                    </w:rPr>
                                    <w:t>0912-8462093</w:t>
                                  </w:r>
                                </w:p>
                              </w:tc>
                              <w:tc>
                                <w:tcPr>
                                  <w:tcW w:w="1014" w:type="dxa"/>
                                  <w:tcBorders>
                                    <w:bottom w:val="single" w:color="000000" w:sz="4" w:space="0"/>
                                  </w:tcBorders>
                                  <w:noWrap w:val="0"/>
                                  <w:vAlign w:val="center"/>
                                </w:tcPr>
                                <w:p w14:paraId="0837330C">
                                  <w:pPr>
                                    <w:pStyle w:val="31"/>
                                    <w:spacing w:line="277" w:lineRule="atLeast"/>
                                    <w:jc w:val="center"/>
                                    <w:textAlignment w:val="center"/>
                                    <w:rPr>
                                      <w:color w:val="000000"/>
                                      <w:sz w:val="21"/>
                                    </w:rPr>
                                  </w:pPr>
                                  <w:r>
                                    <w:rPr>
                                      <w:color w:val="000000"/>
                                      <w:sz w:val="21"/>
                                    </w:rPr>
                                    <w:t>2010.9.8</w:t>
                                  </w:r>
                                </w:p>
                              </w:tc>
                            </w:tr>
                            <w:tr w14:paraId="51655AB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23F2B36A">
                                  <w:pPr>
                                    <w:pStyle w:val="31"/>
                                    <w:spacing w:line="277" w:lineRule="atLeast"/>
                                    <w:jc w:val="center"/>
                                    <w:textAlignment w:val="center"/>
                                    <w:rPr>
                                      <w:color w:val="000000"/>
                                      <w:sz w:val="21"/>
                                    </w:rPr>
                                  </w:pPr>
                                  <w:r>
                                    <w:rPr>
                                      <w:color w:val="000000"/>
                                      <w:sz w:val="21"/>
                                    </w:rPr>
                                    <w:t>4</w:t>
                                  </w:r>
                                </w:p>
                              </w:tc>
                              <w:tc>
                                <w:tcPr>
                                  <w:tcW w:w="2568" w:type="dxa"/>
                                  <w:tcBorders>
                                    <w:bottom w:val="single" w:color="000000" w:sz="4" w:space="0"/>
                                    <w:right w:val="single" w:color="000000" w:sz="4" w:space="0"/>
                                  </w:tcBorders>
                                  <w:noWrap w:val="0"/>
                                  <w:vAlign w:val="center"/>
                                </w:tcPr>
                                <w:p w14:paraId="046158DD">
                                  <w:pPr>
                                    <w:pStyle w:val="31"/>
                                    <w:spacing w:line="277" w:lineRule="atLeast"/>
                                    <w:textAlignment w:val="center"/>
                                    <w:rPr>
                                      <w:color w:val="000000"/>
                                      <w:sz w:val="21"/>
                                    </w:rPr>
                                  </w:pPr>
                                  <w:r>
                                    <w:rPr>
                                      <w:color w:val="000000"/>
                                      <w:sz w:val="21"/>
                                    </w:rPr>
                                    <w:t>神木县顺兴化工有限责任公司</w:t>
                                  </w:r>
                                </w:p>
                              </w:tc>
                              <w:tc>
                                <w:tcPr>
                                  <w:tcW w:w="793" w:type="dxa"/>
                                  <w:tcBorders>
                                    <w:bottom w:val="single" w:color="000000" w:sz="4" w:space="0"/>
                                    <w:right w:val="single" w:color="000000" w:sz="4" w:space="0"/>
                                  </w:tcBorders>
                                  <w:noWrap w:val="0"/>
                                  <w:vAlign w:val="center"/>
                                </w:tcPr>
                                <w:p w14:paraId="34B66D12">
                                  <w:pPr>
                                    <w:pStyle w:val="31"/>
                                    <w:spacing w:line="277" w:lineRule="atLeast"/>
                                    <w:jc w:val="center"/>
                                    <w:textAlignment w:val="center"/>
                                    <w:rPr>
                                      <w:color w:val="000000"/>
                                      <w:sz w:val="21"/>
                                    </w:rPr>
                                  </w:pPr>
                                  <w:r>
                                    <w:rPr>
                                      <w:color w:val="000000"/>
                                      <w:sz w:val="21"/>
                                    </w:rPr>
                                    <w:t>刘涛</w:t>
                                  </w:r>
                                </w:p>
                              </w:tc>
                              <w:tc>
                                <w:tcPr>
                                  <w:tcW w:w="1604" w:type="dxa"/>
                                  <w:tcBorders>
                                    <w:bottom w:val="single" w:color="000000" w:sz="4" w:space="0"/>
                                    <w:right w:val="single" w:color="000000" w:sz="4" w:space="0"/>
                                  </w:tcBorders>
                                  <w:noWrap w:val="0"/>
                                  <w:vAlign w:val="center"/>
                                </w:tcPr>
                                <w:p w14:paraId="1890E450">
                                  <w:pPr>
                                    <w:pStyle w:val="31"/>
                                    <w:spacing w:line="277" w:lineRule="atLeast"/>
                                    <w:textAlignment w:val="center"/>
                                    <w:rPr>
                                      <w:color w:val="000000"/>
                                      <w:sz w:val="21"/>
                                    </w:rPr>
                                  </w:pPr>
                                  <w:r>
                                    <w:rPr>
                                      <w:color w:val="000000"/>
                                      <w:sz w:val="21"/>
                                    </w:rPr>
                                    <w:t>陕西省榆林市</w:t>
                                  </w:r>
                                </w:p>
                                <w:p w14:paraId="541821CC">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08DAE3B8">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0D091A7E">
                                  <w:pPr>
                                    <w:pStyle w:val="31"/>
                                    <w:spacing w:line="277" w:lineRule="atLeast"/>
                                    <w:jc w:val="center"/>
                                    <w:textAlignment w:val="center"/>
                                    <w:rPr>
                                      <w:color w:val="000000"/>
                                      <w:sz w:val="21"/>
                                    </w:rPr>
                                  </w:pPr>
                                  <w:r>
                                    <w:rPr>
                                      <w:color w:val="000000"/>
                                      <w:sz w:val="21"/>
                                    </w:rPr>
                                    <w:t>0912-8463886</w:t>
                                  </w:r>
                                </w:p>
                              </w:tc>
                              <w:tc>
                                <w:tcPr>
                                  <w:tcW w:w="1014" w:type="dxa"/>
                                  <w:tcBorders>
                                    <w:bottom w:val="single" w:color="000000" w:sz="4" w:space="0"/>
                                  </w:tcBorders>
                                  <w:noWrap w:val="0"/>
                                  <w:vAlign w:val="center"/>
                                </w:tcPr>
                                <w:p w14:paraId="267559C0">
                                  <w:pPr>
                                    <w:pStyle w:val="31"/>
                                    <w:spacing w:line="277" w:lineRule="atLeast"/>
                                    <w:jc w:val="center"/>
                                    <w:textAlignment w:val="center"/>
                                    <w:rPr>
                                      <w:color w:val="000000"/>
                                      <w:sz w:val="21"/>
                                    </w:rPr>
                                  </w:pPr>
                                  <w:r>
                                    <w:rPr>
                                      <w:color w:val="000000"/>
                                      <w:sz w:val="21"/>
                                    </w:rPr>
                                    <w:t>2010.9.9</w:t>
                                  </w:r>
                                </w:p>
                              </w:tc>
                            </w:tr>
                            <w:tr w14:paraId="16373B8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6FFBA653">
                                  <w:pPr>
                                    <w:pStyle w:val="31"/>
                                    <w:spacing w:line="277" w:lineRule="atLeast"/>
                                    <w:jc w:val="center"/>
                                    <w:textAlignment w:val="center"/>
                                    <w:rPr>
                                      <w:color w:val="000000"/>
                                      <w:sz w:val="21"/>
                                    </w:rPr>
                                  </w:pPr>
                                  <w:r>
                                    <w:rPr>
                                      <w:color w:val="000000"/>
                                      <w:sz w:val="21"/>
                                    </w:rPr>
                                    <w:t>5</w:t>
                                  </w:r>
                                </w:p>
                              </w:tc>
                              <w:tc>
                                <w:tcPr>
                                  <w:tcW w:w="2568" w:type="dxa"/>
                                  <w:tcBorders>
                                    <w:bottom w:val="single" w:color="000000" w:sz="4" w:space="0"/>
                                    <w:right w:val="single" w:color="000000" w:sz="4" w:space="0"/>
                                  </w:tcBorders>
                                  <w:noWrap w:val="0"/>
                                  <w:vAlign w:val="center"/>
                                </w:tcPr>
                                <w:p w14:paraId="533372F4">
                                  <w:pPr>
                                    <w:pStyle w:val="31"/>
                                    <w:spacing w:line="277" w:lineRule="atLeast"/>
                                    <w:textAlignment w:val="center"/>
                                    <w:rPr>
                                      <w:color w:val="000000"/>
                                      <w:sz w:val="21"/>
                                    </w:rPr>
                                  </w:pPr>
                                  <w:r>
                                    <w:rPr>
                                      <w:color w:val="000000"/>
                                      <w:sz w:val="21"/>
                                    </w:rPr>
                                    <w:t>神木县白云化工有限责任公司</w:t>
                                  </w:r>
                                </w:p>
                              </w:tc>
                              <w:tc>
                                <w:tcPr>
                                  <w:tcW w:w="793" w:type="dxa"/>
                                  <w:tcBorders>
                                    <w:bottom w:val="single" w:color="000000" w:sz="4" w:space="0"/>
                                    <w:right w:val="single" w:color="000000" w:sz="4" w:space="0"/>
                                  </w:tcBorders>
                                  <w:noWrap w:val="0"/>
                                  <w:vAlign w:val="center"/>
                                </w:tcPr>
                                <w:p w14:paraId="6F03146C">
                                  <w:pPr>
                                    <w:pStyle w:val="31"/>
                                    <w:spacing w:line="277" w:lineRule="atLeast"/>
                                    <w:jc w:val="center"/>
                                    <w:textAlignment w:val="center"/>
                                    <w:rPr>
                                      <w:color w:val="000000"/>
                                      <w:sz w:val="21"/>
                                    </w:rPr>
                                  </w:pPr>
                                  <w:r>
                                    <w:rPr>
                                      <w:color w:val="000000"/>
                                      <w:sz w:val="21"/>
                                    </w:rPr>
                                    <w:t>赵旺雄</w:t>
                                  </w:r>
                                </w:p>
                              </w:tc>
                              <w:tc>
                                <w:tcPr>
                                  <w:tcW w:w="1604" w:type="dxa"/>
                                  <w:tcBorders>
                                    <w:bottom w:val="single" w:color="000000" w:sz="4" w:space="0"/>
                                    <w:right w:val="single" w:color="000000" w:sz="4" w:space="0"/>
                                  </w:tcBorders>
                                  <w:noWrap w:val="0"/>
                                  <w:vAlign w:val="center"/>
                                </w:tcPr>
                                <w:p w14:paraId="12B0253D">
                                  <w:pPr>
                                    <w:pStyle w:val="31"/>
                                    <w:spacing w:line="277" w:lineRule="atLeast"/>
                                    <w:textAlignment w:val="center"/>
                                    <w:rPr>
                                      <w:color w:val="000000"/>
                                      <w:sz w:val="21"/>
                                    </w:rPr>
                                  </w:pPr>
                                  <w:r>
                                    <w:rPr>
                                      <w:color w:val="000000"/>
                                      <w:sz w:val="21"/>
                                    </w:rPr>
                                    <w:t>陕西省榆林市</w:t>
                                  </w:r>
                                </w:p>
                                <w:p w14:paraId="66F1CD9F">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6ADED788">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4ABBD033">
                                  <w:pPr>
                                    <w:pStyle w:val="31"/>
                                    <w:spacing w:line="277" w:lineRule="atLeast"/>
                                    <w:jc w:val="center"/>
                                    <w:textAlignment w:val="center"/>
                                    <w:rPr>
                                      <w:color w:val="000000"/>
                                      <w:sz w:val="21"/>
                                    </w:rPr>
                                  </w:pPr>
                                  <w:r>
                                    <w:rPr>
                                      <w:color w:val="000000"/>
                                      <w:sz w:val="21"/>
                                    </w:rPr>
                                    <w:t>13809129346</w:t>
                                  </w:r>
                                </w:p>
                              </w:tc>
                              <w:tc>
                                <w:tcPr>
                                  <w:tcW w:w="1014" w:type="dxa"/>
                                  <w:tcBorders>
                                    <w:bottom w:val="single" w:color="000000" w:sz="4" w:space="0"/>
                                  </w:tcBorders>
                                  <w:noWrap w:val="0"/>
                                  <w:vAlign w:val="center"/>
                                </w:tcPr>
                                <w:p w14:paraId="04ED6FD9">
                                  <w:pPr>
                                    <w:pStyle w:val="31"/>
                                    <w:spacing w:line="277" w:lineRule="atLeast"/>
                                    <w:jc w:val="center"/>
                                    <w:textAlignment w:val="center"/>
                                    <w:rPr>
                                      <w:color w:val="000000"/>
                                      <w:sz w:val="21"/>
                                    </w:rPr>
                                  </w:pPr>
                                  <w:r>
                                    <w:rPr>
                                      <w:color w:val="000000"/>
                                      <w:sz w:val="21"/>
                                    </w:rPr>
                                    <w:t>2010.9.13</w:t>
                                  </w:r>
                                </w:p>
                              </w:tc>
                            </w:tr>
                            <w:tr w14:paraId="2768639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0D3DF531">
                                  <w:pPr>
                                    <w:pStyle w:val="31"/>
                                    <w:spacing w:line="277" w:lineRule="atLeast"/>
                                    <w:jc w:val="center"/>
                                    <w:textAlignment w:val="center"/>
                                    <w:rPr>
                                      <w:color w:val="000000"/>
                                      <w:sz w:val="21"/>
                                    </w:rPr>
                                  </w:pPr>
                                  <w:r>
                                    <w:rPr>
                                      <w:color w:val="000000"/>
                                      <w:sz w:val="21"/>
                                    </w:rPr>
                                    <w:t>6</w:t>
                                  </w:r>
                                </w:p>
                              </w:tc>
                              <w:tc>
                                <w:tcPr>
                                  <w:tcW w:w="2568" w:type="dxa"/>
                                  <w:tcBorders>
                                    <w:bottom w:val="single" w:color="000000" w:sz="4" w:space="0"/>
                                    <w:right w:val="single" w:color="000000" w:sz="4" w:space="0"/>
                                  </w:tcBorders>
                                  <w:noWrap w:val="0"/>
                                  <w:vAlign w:val="center"/>
                                </w:tcPr>
                                <w:p w14:paraId="606C8106">
                                  <w:pPr>
                                    <w:pStyle w:val="31"/>
                                    <w:spacing w:line="277" w:lineRule="atLeast"/>
                                    <w:textAlignment w:val="center"/>
                                    <w:rPr>
                                      <w:color w:val="000000"/>
                                      <w:sz w:val="21"/>
                                    </w:rPr>
                                  </w:pPr>
                                  <w:r>
                                    <w:rPr>
                                      <w:color w:val="000000"/>
                                      <w:sz w:val="21"/>
                                    </w:rPr>
                                    <w:t>神木县神宇煤电化有限公司</w:t>
                                  </w:r>
                                </w:p>
                              </w:tc>
                              <w:tc>
                                <w:tcPr>
                                  <w:tcW w:w="793" w:type="dxa"/>
                                  <w:tcBorders>
                                    <w:bottom w:val="single" w:color="000000" w:sz="4" w:space="0"/>
                                    <w:right w:val="single" w:color="000000" w:sz="4" w:space="0"/>
                                  </w:tcBorders>
                                  <w:noWrap w:val="0"/>
                                  <w:vAlign w:val="center"/>
                                </w:tcPr>
                                <w:p w14:paraId="52FDD2DE">
                                  <w:pPr>
                                    <w:pStyle w:val="31"/>
                                    <w:spacing w:line="277" w:lineRule="atLeast"/>
                                    <w:jc w:val="center"/>
                                    <w:textAlignment w:val="center"/>
                                    <w:rPr>
                                      <w:color w:val="000000"/>
                                      <w:sz w:val="21"/>
                                    </w:rPr>
                                  </w:pPr>
                                  <w:r>
                                    <w:rPr>
                                      <w:color w:val="000000"/>
                                      <w:sz w:val="21"/>
                                    </w:rPr>
                                    <w:t>王贵全</w:t>
                                  </w:r>
                                </w:p>
                              </w:tc>
                              <w:tc>
                                <w:tcPr>
                                  <w:tcW w:w="1604" w:type="dxa"/>
                                  <w:tcBorders>
                                    <w:bottom w:val="single" w:color="000000" w:sz="4" w:space="0"/>
                                    <w:right w:val="single" w:color="000000" w:sz="4" w:space="0"/>
                                  </w:tcBorders>
                                  <w:noWrap w:val="0"/>
                                  <w:vAlign w:val="center"/>
                                </w:tcPr>
                                <w:p w14:paraId="2F27F7E9">
                                  <w:pPr>
                                    <w:pStyle w:val="31"/>
                                    <w:spacing w:line="277" w:lineRule="atLeast"/>
                                    <w:textAlignment w:val="center"/>
                                    <w:rPr>
                                      <w:color w:val="000000"/>
                                      <w:sz w:val="21"/>
                                    </w:rPr>
                                  </w:pPr>
                                  <w:r>
                                    <w:rPr>
                                      <w:color w:val="000000"/>
                                      <w:sz w:val="21"/>
                                    </w:rPr>
                                    <w:t>陕西省榆林市</w:t>
                                  </w:r>
                                </w:p>
                                <w:p w14:paraId="55204694">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3511C135">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6BC3AA97">
                                  <w:pPr>
                                    <w:pStyle w:val="31"/>
                                    <w:spacing w:line="277" w:lineRule="atLeast"/>
                                    <w:jc w:val="center"/>
                                    <w:textAlignment w:val="center"/>
                                    <w:rPr>
                                      <w:color w:val="000000"/>
                                      <w:sz w:val="21"/>
                                    </w:rPr>
                                  </w:pPr>
                                  <w:r>
                                    <w:rPr>
                                      <w:color w:val="000000"/>
                                      <w:sz w:val="21"/>
                                    </w:rPr>
                                    <w:t>13991089418</w:t>
                                  </w:r>
                                </w:p>
                              </w:tc>
                              <w:tc>
                                <w:tcPr>
                                  <w:tcW w:w="1014" w:type="dxa"/>
                                  <w:tcBorders>
                                    <w:bottom w:val="single" w:color="000000" w:sz="4" w:space="0"/>
                                  </w:tcBorders>
                                  <w:noWrap w:val="0"/>
                                  <w:vAlign w:val="center"/>
                                </w:tcPr>
                                <w:p w14:paraId="4D4911F4">
                                  <w:pPr>
                                    <w:pStyle w:val="31"/>
                                    <w:spacing w:line="277" w:lineRule="atLeast"/>
                                    <w:jc w:val="center"/>
                                    <w:textAlignment w:val="center"/>
                                    <w:rPr>
                                      <w:color w:val="000000"/>
                                      <w:sz w:val="21"/>
                                    </w:rPr>
                                  </w:pPr>
                                  <w:r>
                                    <w:rPr>
                                      <w:color w:val="000000"/>
                                      <w:sz w:val="21"/>
                                    </w:rPr>
                                    <w:t>2010.9.13</w:t>
                                  </w:r>
                                </w:p>
                              </w:tc>
                            </w:tr>
                            <w:tr w14:paraId="2D59730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03961A22">
                                  <w:pPr>
                                    <w:pStyle w:val="31"/>
                                    <w:spacing w:line="277" w:lineRule="atLeast"/>
                                    <w:jc w:val="center"/>
                                    <w:textAlignment w:val="center"/>
                                    <w:rPr>
                                      <w:color w:val="000000"/>
                                      <w:sz w:val="21"/>
                                    </w:rPr>
                                  </w:pPr>
                                  <w:r>
                                    <w:rPr>
                                      <w:color w:val="000000"/>
                                      <w:sz w:val="21"/>
                                    </w:rPr>
                                    <w:t>7</w:t>
                                  </w:r>
                                </w:p>
                              </w:tc>
                              <w:tc>
                                <w:tcPr>
                                  <w:tcW w:w="2568" w:type="dxa"/>
                                  <w:tcBorders>
                                    <w:bottom w:val="single" w:color="000000" w:sz="4" w:space="0"/>
                                    <w:right w:val="single" w:color="000000" w:sz="4" w:space="0"/>
                                  </w:tcBorders>
                                  <w:noWrap w:val="0"/>
                                  <w:vAlign w:val="center"/>
                                </w:tcPr>
                                <w:p w14:paraId="2A021BB0">
                                  <w:pPr>
                                    <w:pStyle w:val="31"/>
                                    <w:spacing w:line="277" w:lineRule="atLeast"/>
                                    <w:textAlignment w:val="center"/>
                                    <w:rPr>
                                      <w:color w:val="000000"/>
                                      <w:sz w:val="21"/>
                                    </w:rPr>
                                  </w:pPr>
                                  <w:r>
                                    <w:rPr>
                                      <w:color w:val="000000"/>
                                      <w:sz w:val="21"/>
                                    </w:rPr>
                                    <w:t>神木县益源特种合金有限公司</w:t>
                                  </w:r>
                                </w:p>
                              </w:tc>
                              <w:tc>
                                <w:tcPr>
                                  <w:tcW w:w="793" w:type="dxa"/>
                                  <w:tcBorders>
                                    <w:bottom w:val="single" w:color="000000" w:sz="4" w:space="0"/>
                                    <w:right w:val="single" w:color="000000" w:sz="4" w:space="0"/>
                                  </w:tcBorders>
                                  <w:noWrap w:val="0"/>
                                  <w:vAlign w:val="center"/>
                                </w:tcPr>
                                <w:p w14:paraId="371E5F61">
                                  <w:pPr>
                                    <w:pStyle w:val="31"/>
                                    <w:spacing w:line="277" w:lineRule="atLeast"/>
                                    <w:jc w:val="center"/>
                                    <w:textAlignment w:val="center"/>
                                    <w:rPr>
                                      <w:color w:val="000000"/>
                                      <w:sz w:val="21"/>
                                    </w:rPr>
                                  </w:pPr>
                                  <w:r>
                                    <w:rPr>
                                      <w:color w:val="000000"/>
                                      <w:sz w:val="21"/>
                                    </w:rPr>
                                    <w:t>王应儒</w:t>
                                  </w:r>
                                </w:p>
                              </w:tc>
                              <w:tc>
                                <w:tcPr>
                                  <w:tcW w:w="1604" w:type="dxa"/>
                                  <w:tcBorders>
                                    <w:bottom w:val="single" w:color="000000" w:sz="4" w:space="0"/>
                                    <w:right w:val="single" w:color="000000" w:sz="4" w:space="0"/>
                                  </w:tcBorders>
                                  <w:noWrap w:val="0"/>
                                  <w:vAlign w:val="center"/>
                                </w:tcPr>
                                <w:p w14:paraId="79AA4D7A">
                                  <w:pPr>
                                    <w:pStyle w:val="31"/>
                                    <w:spacing w:line="277" w:lineRule="atLeast"/>
                                    <w:textAlignment w:val="center"/>
                                    <w:rPr>
                                      <w:color w:val="000000"/>
                                      <w:sz w:val="21"/>
                                    </w:rPr>
                                  </w:pPr>
                                  <w:r>
                                    <w:rPr>
                                      <w:color w:val="000000"/>
                                      <w:sz w:val="21"/>
                                    </w:rPr>
                                    <w:t>陕西省榆林市</w:t>
                                  </w:r>
                                </w:p>
                                <w:p w14:paraId="34C37DB7">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22984872">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50AADDEB">
                                  <w:pPr>
                                    <w:pStyle w:val="31"/>
                                    <w:spacing w:line="277" w:lineRule="atLeast"/>
                                    <w:jc w:val="center"/>
                                    <w:textAlignment w:val="center"/>
                                    <w:rPr>
                                      <w:color w:val="000000"/>
                                      <w:sz w:val="21"/>
                                    </w:rPr>
                                  </w:pPr>
                                  <w:r>
                                    <w:rPr>
                                      <w:color w:val="000000"/>
                                      <w:sz w:val="21"/>
                                    </w:rPr>
                                    <w:t>13335320880</w:t>
                                  </w:r>
                                </w:p>
                              </w:tc>
                              <w:tc>
                                <w:tcPr>
                                  <w:tcW w:w="1014" w:type="dxa"/>
                                  <w:tcBorders>
                                    <w:bottom w:val="single" w:color="000000" w:sz="4" w:space="0"/>
                                  </w:tcBorders>
                                  <w:noWrap w:val="0"/>
                                  <w:vAlign w:val="center"/>
                                </w:tcPr>
                                <w:p w14:paraId="57B92288">
                                  <w:pPr>
                                    <w:pStyle w:val="31"/>
                                    <w:spacing w:line="277" w:lineRule="atLeast"/>
                                    <w:jc w:val="center"/>
                                    <w:textAlignment w:val="center"/>
                                    <w:rPr>
                                      <w:color w:val="000000"/>
                                      <w:sz w:val="21"/>
                                    </w:rPr>
                                  </w:pPr>
                                  <w:r>
                                    <w:rPr>
                                      <w:color w:val="000000"/>
                                      <w:sz w:val="21"/>
                                    </w:rPr>
                                    <w:t>2010.9.13</w:t>
                                  </w:r>
                                </w:p>
                              </w:tc>
                            </w:tr>
                            <w:tr w14:paraId="4F31F31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6A164EF8">
                                  <w:pPr>
                                    <w:pStyle w:val="31"/>
                                    <w:spacing w:line="277" w:lineRule="atLeast"/>
                                    <w:jc w:val="center"/>
                                    <w:textAlignment w:val="center"/>
                                    <w:rPr>
                                      <w:color w:val="000000"/>
                                      <w:sz w:val="21"/>
                                    </w:rPr>
                                  </w:pPr>
                                  <w:r>
                                    <w:rPr>
                                      <w:color w:val="000000"/>
                                      <w:sz w:val="21"/>
                                    </w:rPr>
                                    <w:t>8</w:t>
                                  </w:r>
                                </w:p>
                              </w:tc>
                              <w:tc>
                                <w:tcPr>
                                  <w:tcW w:w="2568" w:type="dxa"/>
                                  <w:tcBorders>
                                    <w:bottom w:val="single" w:color="000000" w:sz="4" w:space="0"/>
                                    <w:right w:val="single" w:color="000000" w:sz="4" w:space="0"/>
                                  </w:tcBorders>
                                  <w:noWrap w:val="0"/>
                                  <w:vAlign w:val="center"/>
                                </w:tcPr>
                                <w:p w14:paraId="7015A51F">
                                  <w:pPr>
                                    <w:pStyle w:val="31"/>
                                    <w:spacing w:line="277" w:lineRule="atLeast"/>
                                    <w:textAlignment w:val="center"/>
                                    <w:rPr>
                                      <w:color w:val="000000"/>
                                      <w:sz w:val="21"/>
                                    </w:rPr>
                                  </w:pPr>
                                  <w:r>
                                    <w:rPr>
                                      <w:color w:val="000000"/>
                                      <w:sz w:val="21"/>
                                    </w:rPr>
                                    <w:t>神木县瑞峰化工有限责任公司</w:t>
                                  </w:r>
                                </w:p>
                              </w:tc>
                              <w:tc>
                                <w:tcPr>
                                  <w:tcW w:w="793" w:type="dxa"/>
                                  <w:tcBorders>
                                    <w:bottom w:val="single" w:color="000000" w:sz="4" w:space="0"/>
                                    <w:right w:val="single" w:color="000000" w:sz="4" w:space="0"/>
                                  </w:tcBorders>
                                  <w:noWrap w:val="0"/>
                                  <w:vAlign w:val="center"/>
                                </w:tcPr>
                                <w:p w14:paraId="3A383DEF">
                                  <w:pPr>
                                    <w:pStyle w:val="31"/>
                                    <w:spacing w:line="277" w:lineRule="atLeast"/>
                                    <w:jc w:val="center"/>
                                    <w:textAlignment w:val="center"/>
                                    <w:rPr>
                                      <w:color w:val="000000"/>
                                      <w:sz w:val="21"/>
                                    </w:rPr>
                                  </w:pPr>
                                  <w:r>
                                    <w:rPr>
                                      <w:color w:val="000000"/>
                                      <w:sz w:val="21"/>
                                    </w:rPr>
                                    <w:t>孙宽</w:t>
                                  </w:r>
                                </w:p>
                              </w:tc>
                              <w:tc>
                                <w:tcPr>
                                  <w:tcW w:w="1604" w:type="dxa"/>
                                  <w:tcBorders>
                                    <w:bottom w:val="single" w:color="000000" w:sz="4" w:space="0"/>
                                    <w:right w:val="single" w:color="000000" w:sz="4" w:space="0"/>
                                  </w:tcBorders>
                                  <w:noWrap w:val="0"/>
                                  <w:vAlign w:val="center"/>
                                </w:tcPr>
                                <w:p w14:paraId="6B3BB1CB">
                                  <w:pPr>
                                    <w:pStyle w:val="31"/>
                                    <w:spacing w:line="277" w:lineRule="atLeast"/>
                                    <w:textAlignment w:val="center"/>
                                    <w:rPr>
                                      <w:color w:val="000000"/>
                                      <w:sz w:val="21"/>
                                    </w:rPr>
                                  </w:pPr>
                                  <w:r>
                                    <w:rPr>
                                      <w:color w:val="000000"/>
                                      <w:sz w:val="21"/>
                                    </w:rPr>
                                    <w:t>陕西省榆林市</w:t>
                                  </w:r>
                                </w:p>
                                <w:p w14:paraId="4E14741F">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61BBFBA7">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0A6B8957">
                                  <w:pPr>
                                    <w:pStyle w:val="31"/>
                                    <w:spacing w:line="277" w:lineRule="atLeast"/>
                                    <w:jc w:val="center"/>
                                    <w:textAlignment w:val="center"/>
                                    <w:rPr>
                                      <w:color w:val="000000"/>
                                      <w:sz w:val="21"/>
                                    </w:rPr>
                                  </w:pPr>
                                  <w:r>
                                    <w:rPr>
                                      <w:color w:val="000000"/>
                                      <w:sz w:val="21"/>
                                    </w:rPr>
                                    <w:t>13389128698</w:t>
                                  </w:r>
                                </w:p>
                              </w:tc>
                              <w:tc>
                                <w:tcPr>
                                  <w:tcW w:w="1014" w:type="dxa"/>
                                  <w:tcBorders>
                                    <w:bottom w:val="single" w:color="000000" w:sz="4" w:space="0"/>
                                  </w:tcBorders>
                                  <w:noWrap w:val="0"/>
                                  <w:vAlign w:val="center"/>
                                </w:tcPr>
                                <w:p w14:paraId="3D3102EF">
                                  <w:pPr>
                                    <w:pStyle w:val="31"/>
                                    <w:spacing w:line="277" w:lineRule="atLeast"/>
                                    <w:jc w:val="center"/>
                                    <w:textAlignment w:val="center"/>
                                    <w:rPr>
                                      <w:color w:val="000000"/>
                                      <w:sz w:val="21"/>
                                    </w:rPr>
                                  </w:pPr>
                                  <w:r>
                                    <w:rPr>
                                      <w:color w:val="000000"/>
                                      <w:sz w:val="21"/>
                                    </w:rPr>
                                    <w:t>2010.9.13</w:t>
                                  </w:r>
                                </w:p>
                              </w:tc>
                            </w:tr>
                            <w:tr w14:paraId="5328E4C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3AF862F1">
                                  <w:pPr>
                                    <w:pStyle w:val="31"/>
                                    <w:spacing w:line="277" w:lineRule="atLeast"/>
                                    <w:jc w:val="center"/>
                                    <w:textAlignment w:val="center"/>
                                    <w:rPr>
                                      <w:color w:val="000000"/>
                                      <w:sz w:val="21"/>
                                    </w:rPr>
                                  </w:pPr>
                                  <w:r>
                                    <w:rPr>
                                      <w:color w:val="000000"/>
                                      <w:sz w:val="21"/>
                                    </w:rPr>
                                    <w:t>9</w:t>
                                  </w:r>
                                </w:p>
                              </w:tc>
                              <w:tc>
                                <w:tcPr>
                                  <w:tcW w:w="2568" w:type="dxa"/>
                                  <w:tcBorders>
                                    <w:bottom w:val="single" w:color="000000" w:sz="4" w:space="0"/>
                                    <w:right w:val="single" w:color="000000" w:sz="4" w:space="0"/>
                                  </w:tcBorders>
                                  <w:noWrap w:val="0"/>
                                  <w:vAlign w:val="center"/>
                                </w:tcPr>
                                <w:p w14:paraId="6BDE277E">
                                  <w:pPr>
                                    <w:pStyle w:val="31"/>
                                    <w:spacing w:line="277" w:lineRule="atLeast"/>
                                    <w:textAlignment w:val="center"/>
                                    <w:rPr>
                                      <w:color w:val="000000"/>
                                      <w:sz w:val="21"/>
                                    </w:rPr>
                                  </w:pPr>
                                  <w:r>
                                    <w:rPr>
                                      <w:color w:val="000000"/>
                                      <w:sz w:val="21"/>
                                    </w:rPr>
                                    <w:t>神木县北孚化工有限责任公司</w:t>
                                  </w:r>
                                </w:p>
                              </w:tc>
                              <w:tc>
                                <w:tcPr>
                                  <w:tcW w:w="793" w:type="dxa"/>
                                  <w:tcBorders>
                                    <w:bottom w:val="single" w:color="000000" w:sz="4" w:space="0"/>
                                    <w:right w:val="single" w:color="000000" w:sz="4" w:space="0"/>
                                  </w:tcBorders>
                                  <w:noWrap w:val="0"/>
                                  <w:vAlign w:val="center"/>
                                </w:tcPr>
                                <w:p w14:paraId="2F21E1EA">
                                  <w:pPr>
                                    <w:pStyle w:val="31"/>
                                    <w:spacing w:line="277" w:lineRule="atLeast"/>
                                    <w:jc w:val="center"/>
                                    <w:textAlignment w:val="center"/>
                                    <w:rPr>
                                      <w:color w:val="000000"/>
                                      <w:sz w:val="21"/>
                                    </w:rPr>
                                  </w:pPr>
                                  <w:r>
                                    <w:rPr>
                                      <w:color w:val="000000"/>
                                      <w:sz w:val="21"/>
                                    </w:rPr>
                                    <w:t>左玉生</w:t>
                                  </w:r>
                                </w:p>
                              </w:tc>
                              <w:tc>
                                <w:tcPr>
                                  <w:tcW w:w="1604" w:type="dxa"/>
                                  <w:tcBorders>
                                    <w:bottom w:val="single" w:color="000000" w:sz="4" w:space="0"/>
                                    <w:right w:val="single" w:color="000000" w:sz="4" w:space="0"/>
                                  </w:tcBorders>
                                  <w:noWrap w:val="0"/>
                                  <w:vAlign w:val="center"/>
                                </w:tcPr>
                                <w:p w14:paraId="45825220">
                                  <w:pPr>
                                    <w:pStyle w:val="31"/>
                                    <w:spacing w:line="277" w:lineRule="atLeast"/>
                                    <w:textAlignment w:val="center"/>
                                    <w:rPr>
                                      <w:color w:val="000000"/>
                                      <w:sz w:val="21"/>
                                    </w:rPr>
                                  </w:pPr>
                                  <w:r>
                                    <w:rPr>
                                      <w:color w:val="000000"/>
                                      <w:sz w:val="21"/>
                                    </w:rPr>
                                    <w:t>陕西省榆林市</w:t>
                                  </w:r>
                                </w:p>
                                <w:p w14:paraId="2EE45694">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6798BCE4">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6FDE1533">
                                  <w:pPr>
                                    <w:pStyle w:val="31"/>
                                    <w:spacing w:line="277" w:lineRule="atLeast"/>
                                    <w:jc w:val="center"/>
                                    <w:textAlignment w:val="center"/>
                                    <w:rPr>
                                      <w:color w:val="000000"/>
                                      <w:sz w:val="21"/>
                                    </w:rPr>
                                  </w:pPr>
                                  <w:r>
                                    <w:rPr>
                                      <w:color w:val="000000"/>
                                      <w:sz w:val="21"/>
                                    </w:rPr>
                                    <w:t>0912-8417189</w:t>
                                  </w:r>
                                </w:p>
                              </w:tc>
                              <w:tc>
                                <w:tcPr>
                                  <w:tcW w:w="1014" w:type="dxa"/>
                                  <w:tcBorders>
                                    <w:bottom w:val="single" w:color="000000" w:sz="4" w:space="0"/>
                                  </w:tcBorders>
                                  <w:noWrap w:val="0"/>
                                  <w:vAlign w:val="center"/>
                                </w:tcPr>
                                <w:p w14:paraId="25D304A8">
                                  <w:pPr>
                                    <w:pStyle w:val="31"/>
                                    <w:spacing w:line="277" w:lineRule="atLeast"/>
                                    <w:jc w:val="center"/>
                                    <w:textAlignment w:val="center"/>
                                    <w:rPr>
                                      <w:color w:val="000000"/>
                                      <w:sz w:val="21"/>
                                    </w:rPr>
                                  </w:pPr>
                                  <w:r>
                                    <w:rPr>
                                      <w:color w:val="000000"/>
                                      <w:sz w:val="21"/>
                                    </w:rPr>
                                    <w:t>2010.9.13</w:t>
                                  </w:r>
                                </w:p>
                              </w:tc>
                            </w:tr>
                            <w:tr w14:paraId="7D1AE7D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212F9CDA">
                                  <w:pPr>
                                    <w:pStyle w:val="31"/>
                                    <w:spacing w:line="277" w:lineRule="atLeast"/>
                                    <w:jc w:val="center"/>
                                    <w:textAlignment w:val="center"/>
                                    <w:rPr>
                                      <w:color w:val="000000"/>
                                      <w:sz w:val="21"/>
                                    </w:rPr>
                                  </w:pPr>
                                  <w:r>
                                    <w:rPr>
                                      <w:color w:val="000000"/>
                                      <w:sz w:val="21"/>
                                    </w:rPr>
                                    <w:t>10</w:t>
                                  </w:r>
                                </w:p>
                              </w:tc>
                              <w:tc>
                                <w:tcPr>
                                  <w:tcW w:w="2568" w:type="dxa"/>
                                  <w:tcBorders>
                                    <w:bottom w:val="single" w:color="000000" w:sz="4" w:space="0"/>
                                    <w:right w:val="single" w:color="000000" w:sz="4" w:space="0"/>
                                  </w:tcBorders>
                                  <w:noWrap w:val="0"/>
                                  <w:vAlign w:val="center"/>
                                </w:tcPr>
                                <w:p w14:paraId="4AE739AE">
                                  <w:pPr>
                                    <w:pStyle w:val="31"/>
                                    <w:spacing w:line="277" w:lineRule="atLeast"/>
                                    <w:textAlignment w:val="center"/>
                                    <w:rPr>
                                      <w:color w:val="000000"/>
                                      <w:sz w:val="21"/>
                                    </w:rPr>
                                  </w:pPr>
                                  <w:r>
                                    <w:rPr>
                                      <w:color w:val="000000"/>
                                      <w:sz w:val="21"/>
                                    </w:rPr>
                                    <w:t>神木县伏尔特电化有限公司</w:t>
                                  </w:r>
                                </w:p>
                              </w:tc>
                              <w:tc>
                                <w:tcPr>
                                  <w:tcW w:w="793" w:type="dxa"/>
                                  <w:tcBorders>
                                    <w:bottom w:val="single" w:color="000000" w:sz="4" w:space="0"/>
                                    <w:right w:val="single" w:color="000000" w:sz="4" w:space="0"/>
                                  </w:tcBorders>
                                  <w:noWrap w:val="0"/>
                                  <w:vAlign w:val="center"/>
                                </w:tcPr>
                                <w:p w14:paraId="2AA92B81">
                                  <w:pPr>
                                    <w:pStyle w:val="31"/>
                                    <w:spacing w:line="277" w:lineRule="atLeast"/>
                                    <w:jc w:val="center"/>
                                    <w:textAlignment w:val="center"/>
                                    <w:rPr>
                                      <w:color w:val="000000"/>
                                      <w:sz w:val="21"/>
                                    </w:rPr>
                                  </w:pPr>
                                  <w:r>
                                    <w:rPr>
                                      <w:color w:val="000000"/>
                                      <w:sz w:val="21"/>
                                    </w:rPr>
                                    <w:t>林松权</w:t>
                                  </w:r>
                                </w:p>
                              </w:tc>
                              <w:tc>
                                <w:tcPr>
                                  <w:tcW w:w="1604" w:type="dxa"/>
                                  <w:tcBorders>
                                    <w:bottom w:val="single" w:color="000000" w:sz="4" w:space="0"/>
                                    <w:right w:val="single" w:color="000000" w:sz="4" w:space="0"/>
                                  </w:tcBorders>
                                  <w:noWrap w:val="0"/>
                                  <w:vAlign w:val="center"/>
                                </w:tcPr>
                                <w:p w14:paraId="1E3128EE">
                                  <w:pPr>
                                    <w:pStyle w:val="31"/>
                                    <w:spacing w:line="277" w:lineRule="atLeast"/>
                                    <w:textAlignment w:val="center"/>
                                    <w:rPr>
                                      <w:color w:val="000000"/>
                                      <w:sz w:val="21"/>
                                    </w:rPr>
                                  </w:pPr>
                                  <w:r>
                                    <w:rPr>
                                      <w:color w:val="000000"/>
                                      <w:sz w:val="21"/>
                                    </w:rPr>
                                    <w:t>陕西省榆林市</w:t>
                                  </w:r>
                                </w:p>
                                <w:p w14:paraId="7E972996">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11367275">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6072B6A2">
                                  <w:pPr>
                                    <w:pStyle w:val="31"/>
                                    <w:spacing w:line="277" w:lineRule="atLeast"/>
                                    <w:jc w:val="center"/>
                                    <w:textAlignment w:val="center"/>
                                    <w:rPr>
                                      <w:color w:val="000000"/>
                                      <w:sz w:val="21"/>
                                    </w:rPr>
                                  </w:pPr>
                                  <w:r>
                                    <w:rPr>
                                      <w:color w:val="000000"/>
                                      <w:sz w:val="21"/>
                                    </w:rPr>
                                    <w:t>13891242866</w:t>
                                  </w:r>
                                </w:p>
                              </w:tc>
                              <w:tc>
                                <w:tcPr>
                                  <w:tcW w:w="1014" w:type="dxa"/>
                                  <w:tcBorders>
                                    <w:bottom w:val="single" w:color="000000" w:sz="4" w:space="0"/>
                                  </w:tcBorders>
                                  <w:noWrap w:val="0"/>
                                  <w:vAlign w:val="center"/>
                                </w:tcPr>
                                <w:p w14:paraId="7F93923A">
                                  <w:pPr>
                                    <w:pStyle w:val="31"/>
                                    <w:spacing w:line="277" w:lineRule="atLeast"/>
                                    <w:jc w:val="center"/>
                                    <w:textAlignment w:val="center"/>
                                    <w:rPr>
                                      <w:color w:val="000000"/>
                                      <w:sz w:val="21"/>
                                    </w:rPr>
                                  </w:pPr>
                                  <w:r>
                                    <w:rPr>
                                      <w:color w:val="000000"/>
                                      <w:sz w:val="21"/>
                                    </w:rPr>
                                    <w:t>2010.9.14</w:t>
                                  </w:r>
                                </w:p>
                              </w:tc>
                            </w:tr>
                            <w:tr w14:paraId="20ABB93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68FDDCCE">
                                  <w:pPr>
                                    <w:pStyle w:val="31"/>
                                    <w:spacing w:line="277" w:lineRule="atLeast"/>
                                    <w:jc w:val="center"/>
                                    <w:textAlignment w:val="center"/>
                                    <w:rPr>
                                      <w:color w:val="000000"/>
                                      <w:sz w:val="21"/>
                                    </w:rPr>
                                  </w:pPr>
                                  <w:r>
                                    <w:rPr>
                                      <w:color w:val="000000"/>
                                      <w:sz w:val="21"/>
                                    </w:rPr>
                                    <w:t>11</w:t>
                                  </w:r>
                                </w:p>
                              </w:tc>
                              <w:tc>
                                <w:tcPr>
                                  <w:tcW w:w="2568" w:type="dxa"/>
                                  <w:tcBorders>
                                    <w:bottom w:val="single" w:color="000000" w:sz="4" w:space="0"/>
                                    <w:right w:val="single" w:color="000000" w:sz="4" w:space="0"/>
                                  </w:tcBorders>
                                  <w:noWrap w:val="0"/>
                                  <w:vAlign w:val="center"/>
                                </w:tcPr>
                                <w:p w14:paraId="3B46BCF7">
                                  <w:pPr>
                                    <w:pStyle w:val="31"/>
                                    <w:spacing w:line="277" w:lineRule="atLeast"/>
                                    <w:textAlignment w:val="center"/>
                                    <w:rPr>
                                      <w:color w:val="000000"/>
                                      <w:sz w:val="21"/>
                                    </w:rPr>
                                  </w:pPr>
                                  <w:r>
                                    <w:rPr>
                                      <w:color w:val="000000"/>
                                      <w:sz w:val="21"/>
                                    </w:rPr>
                                    <w:t>神木县正华化工有限责任公司</w:t>
                                  </w:r>
                                </w:p>
                              </w:tc>
                              <w:tc>
                                <w:tcPr>
                                  <w:tcW w:w="793" w:type="dxa"/>
                                  <w:tcBorders>
                                    <w:bottom w:val="single" w:color="000000" w:sz="4" w:space="0"/>
                                    <w:right w:val="single" w:color="000000" w:sz="4" w:space="0"/>
                                  </w:tcBorders>
                                  <w:noWrap w:val="0"/>
                                  <w:vAlign w:val="center"/>
                                </w:tcPr>
                                <w:p w14:paraId="0F3A67A1">
                                  <w:pPr>
                                    <w:pStyle w:val="31"/>
                                    <w:spacing w:line="277" w:lineRule="atLeast"/>
                                    <w:jc w:val="center"/>
                                    <w:textAlignment w:val="center"/>
                                    <w:rPr>
                                      <w:color w:val="000000"/>
                                      <w:sz w:val="21"/>
                                    </w:rPr>
                                  </w:pPr>
                                  <w:r>
                                    <w:rPr>
                                      <w:color w:val="000000"/>
                                      <w:sz w:val="21"/>
                                    </w:rPr>
                                    <w:t>张凯峰</w:t>
                                  </w:r>
                                </w:p>
                              </w:tc>
                              <w:tc>
                                <w:tcPr>
                                  <w:tcW w:w="1604" w:type="dxa"/>
                                  <w:tcBorders>
                                    <w:bottom w:val="single" w:color="000000" w:sz="4" w:space="0"/>
                                    <w:right w:val="single" w:color="000000" w:sz="4" w:space="0"/>
                                  </w:tcBorders>
                                  <w:noWrap w:val="0"/>
                                  <w:vAlign w:val="center"/>
                                </w:tcPr>
                                <w:p w14:paraId="13159003">
                                  <w:pPr>
                                    <w:pStyle w:val="31"/>
                                    <w:spacing w:line="277" w:lineRule="atLeast"/>
                                    <w:textAlignment w:val="center"/>
                                    <w:rPr>
                                      <w:color w:val="000000"/>
                                      <w:sz w:val="21"/>
                                    </w:rPr>
                                  </w:pPr>
                                  <w:r>
                                    <w:rPr>
                                      <w:color w:val="000000"/>
                                      <w:sz w:val="21"/>
                                    </w:rPr>
                                    <w:t>陕西省榆林市</w:t>
                                  </w:r>
                                </w:p>
                                <w:p w14:paraId="2406B148">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1CB3E72F">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7709FDB8">
                                  <w:pPr>
                                    <w:pStyle w:val="31"/>
                                    <w:spacing w:line="277" w:lineRule="atLeast"/>
                                    <w:jc w:val="center"/>
                                    <w:textAlignment w:val="center"/>
                                    <w:rPr>
                                      <w:color w:val="000000"/>
                                      <w:sz w:val="21"/>
                                    </w:rPr>
                                  </w:pPr>
                                  <w:r>
                                    <w:rPr>
                                      <w:color w:val="000000"/>
                                      <w:sz w:val="21"/>
                                    </w:rPr>
                                    <w:t>13659220078</w:t>
                                  </w:r>
                                </w:p>
                              </w:tc>
                              <w:tc>
                                <w:tcPr>
                                  <w:tcW w:w="1014" w:type="dxa"/>
                                  <w:tcBorders>
                                    <w:bottom w:val="single" w:color="000000" w:sz="4" w:space="0"/>
                                  </w:tcBorders>
                                  <w:noWrap w:val="0"/>
                                  <w:vAlign w:val="center"/>
                                </w:tcPr>
                                <w:p w14:paraId="5ED6612F">
                                  <w:pPr>
                                    <w:pStyle w:val="31"/>
                                    <w:spacing w:line="277" w:lineRule="atLeast"/>
                                    <w:jc w:val="center"/>
                                    <w:textAlignment w:val="center"/>
                                    <w:rPr>
                                      <w:color w:val="000000"/>
                                      <w:sz w:val="21"/>
                                    </w:rPr>
                                  </w:pPr>
                                  <w:r>
                                    <w:rPr>
                                      <w:color w:val="000000"/>
                                      <w:sz w:val="21"/>
                                    </w:rPr>
                                    <w:t>2010.9.14</w:t>
                                  </w:r>
                                </w:p>
                              </w:tc>
                            </w:tr>
                            <w:tr w14:paraId="4EF94F4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7F4D3131">
                                  <w:pPr>
                                    <w:pStyle w:val="31"/>
                                    <w:spacing w:line="277" w:lineRule="atLeast"/>
                                    <w:jc w:val="center"/>
                                    <w:textAlignment w:val="center"/>
                                    <w:rPr>
                                      <w:color w:val="000000"/>
                                      <w:sz w:val="21"/>
                                    </w:rPr>
                                  </w:pPr>
                                  <w:r>
                                    <w:rPr>
                                      <w:color w:val="000000"/>
                                      <w:sz w:val="21"/>
                                    </w:rPr>
                                    <w:t>12</w:t>
                                  </w:r>
                                </w:p>
                              </w:tc>
                              <w:tc>
                                <w:tcPr>
                                  <w:tcW w:w="2568" w:type="dxa"/>
                                  <w:tcBorders>
                                    <w:bottom w:val="single" w:color="000000" w:sz="4" w:space="0"/>
                                    <w:right w:val="single" w:color="000000" w:sz="4" w:space="0"/>
                                  </w:tcBorders>
                                  <w:noWrap w:val="0"/>
                                  <w:vAlign w:val="center"/>
                                </w:tcPr>
                                <w:p w14:paraId="686DAF9D">
                                  <w:pPr>
                                    <w:pStyle w:val="31"/>
                                    <w:spacing w:line="277" w:lineRule="atLeast"/>
                                    <w:textAlignment w:val="center"/>
                                    <w:rPr>
                                      <w:color w:val="000000"/>
                                      <w:sz w:val="21"/>
                                    </w:rPr>
                                  </w:pPr>
                                  <w:r>
                                    <w:rPr>
                                      <w:color w:val="000000"/>
                                      <w:sz w:val="21"/>
                                    </w:rPr>
                                    <w:t>陕西玉林集团锦程电化有限公司</w:t>
                                  </w:r>
                                </w:p>
                              </w:tc>
                              <w:tc>
                                <w:tcPr>
                                  <w:tcW w:w="793" w:type="dxa"/>
                                  <w:tcBorders>
                                    <w:bottom w:val="single" w:color="000000" w:sz="4" w:space="0"/>
                                    <w:right w:val="single" w:color="000000" w:sz="4" w:space="0"/>
                                  </w:tcBorders>
                                  <w:noWrap w:val="0"/>
                                  <w:vAlign w:val="center"/>
                                </w:tcPr>
                                <w:p w14:paraId="79CE060A">
                                  <w:pPr>
                                    <w:pStyle w:val="31"/>
                                    <w:spacing w:line="277" w:lineRule="atLeast"/>
                                    <w:jc w:val="center"/>
                                    <w:textAlignment w:val="center"/>
                                    <w:rPr>
                                      <w:color w:val="000000"/>
                                      <w:sz w:val="21"/>
                                    </w:rPr>
                                  </w:pPr>
                                  <w:r>
                                    <w:rPr>
                                      <w:color w:val="000000"/>
                                      <w:sz w:val="21"/>
                                    </w:rPr>
                                    <w:t>高玉林</w:t>
                                  </w:r>
                                </w:p>
                              </w:tc>
                              <w:tc>
                                <w:tcPr>
                                  <w:tcW w:w="1604" w:type="dxa"/>
                                  <w:tcBorders>
                                    <w:bottom w:val="single" w:color="000000" w:sz="4" w:space="0"/>
                                    <w:right w:val="single" w:color="000000" w:sz="4" w:space="0"/>
                                  </w:tcBorders>
                                  <w:noWrap w:val="0"/>
                                  <w:vAlign w:val="center"/>
                                </w:tcPr>
                                <w:p w14:paraId="4F4EA984">
                                  <w:pPr>
                                    <w:pStyle w:val="31"/>
                                    <w:spacing w:line="277" w:lineRule="atLeast"/>
                                    <w:textAlignment w:val="center"/>
                                    <w:rPr>
                                      <w:color w:val="000000"/>
                                      <w:sz w:val="21"/>
                                    </w:rPr>
                                  </w:pPr>
                                  <w:r>
                                    <w:rPr>
                                      <w:color w:val="000000"/>
                                      <w:sz w:val="21"/>
                                    </w:rPr>
                                    <w:t>陕西省榆林市</w:t>
                                  </w:r>
                                </w:p>
                                <w:p w14:paraId="33C9446D">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2FF66918">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45733998">
                                  <w:pPr>
                                    <w:pStyle w:val="31"/>
                                    <w:spacing w:line="277" w:lineRule="atLeast"/>
                                    <w:jc w:val="center"/>
                                    <w:textAlignment w:val="center"/>
                                    <w:rPr>
                                      <w:color w:val="000000"/>
                                      <w:sz w:val="21"/>
                                    </w:rPr>
                                  </w:pPr>
                                  <w:r>
                                    <w:rPr>
                                      <w:color w:val="000000"/>
                                      <w:sz w:val="21"/>
                                    </w:rPr>
                                    <w:t>13892221750</w:t>
                                  </w:r>
                                </w:p>
                              </w:tc>
                              <w:tc>
                                <w:tcPr>
                                  <w:tcW w:w="1014" w:type="dxa"/>
                                  <w:tcBorders>
                                    <w:bottom w:val="single" w:color="000000" w:sz="4" w:space="0"/>
                                  </w:tcBorders>
                                  <w:noWrap w:val="0"/>
                                  <w:vAlign w:val="center"/>
                                </w:tcPr>
                                <w:p w14:paraId="7F155F95">
                                  <w:pPr>
                                    <w:pStyle w:val="31"/>
                                    <w:spacing w:line="277" w:lineRule="atLeast"/>
                                    <w:jc w:val="center"/>
                                    <w:textAlignment w:val="center"/>
                                    <w:rPr>
                                      <w:color w:val="000000"/>
                                      <w:sz w:val="21"/>
                                    </w:rPr>
                                  </w:pPr>
                                  <w:r>
                                    <w:rPr>
                                      <w:color w:val="000000"/>
                                      <w:sz w:val="21"/>
                                    </w:rPr>
                                    <w:t>2010.9.14</w:t>
                                  </w:r>
                                </w:p>
                              </w:tc>
                            </w:tr>
                            <w:tr w14:paraId="4E23487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74FBDF44">
                                  <w:pPr>
                                    <w:pStyle w:val="31"/>
                                    <w:spacing w:line="277" w:lineRule="atLeast"/>
                                    <w:jc w:val="center"/>
                                    <w:textAlignment w:val="center"/>
                                    <w:rPr>
                                      <w:color w:val="000000"/>
                                      <w:sz w:val="21"/>
                                    </w:rPr>
                                  </w:pPr>
                                  <w:r>
                                    <w:rPr>
                                      <w:color w:val="000000"/>
                                      <w:sz w:val="21"/>
                                    </w:rPr>
                                    <w:t>13</w:t>
                                  </w:r>
                                </w:p>
                              </w:tc>
                              <w:tc>
                                <w:tcPr>
                                  <w:tcW w:w="2568" w:type="dxa"/>
                                  <w:tcBorders>
                                    <w:bottom w:val="single" w:color="000000" w:sz="4" w:space="0"/>
                                    <w:right w:val="single" w:color="000000" w:sz="4" w:space="0"/>
                                  </w:tcBorders>
                                  <w:noWrap w:val="0"/>
                                  <w:vAlign w:val="center"/>
                                </w:tcPr>
                                <w:p w14:paraId="548FCE98">
                                  <w:pPr>
                                    <w:pStyle w:val="31"/>
                                    <w:spacing w:line="277" w:lineRule="atLeast"/>
                                    <w:textAlignment w:val="center"/>
                                    <w:rPr>
                                      <w:color w:val="000000"/>
                                      <w:sz w:val="21"/>
                                    </w:rPr>
                                  </w:pPr>
                                  <w:r>
                                    <w:rPr>
                                      <w:color w:val="000000"/>
                                      <w:sz w:val="21"/>
                                    </w:rPr>
                                    <w:t>神府经济开发区泰星电化有限公司</w:t>
                                  </w:r>
                                </w:p>
                              </w:tc>
                              <w:tc>
                                <w:tcPr>
                                  <w:tcW w:w="793" w:type="dxa"/>
                                  <w:tcBorders>
                                    <w:bottom w:val="single" w:color="000000" w:sz="4" w:space="0"/>
                                    <w:right w:val="single" w:color="000000" w:sz="4" w:space="0"/>
                                  </w:tcBorders>
                                  <w:noWrap w:val="0"/>
                                  <w:vAlign w:val="center"/>
                                </w:tcPr>
                                <w:p w14:paraId="3230932C">
                                  <w:pPr>
                                    <w:pStyle w:val="31"/>
                                    <w:spacing w:line="277" w:lineRule="atLeast"/>
                                    <w:jc w:val="center"/>
                                    <w:textAlignment w:val="center"/>
                                    <w:rPr>
                                      <w:color w:val="000000"/>
                                      <w:sz w:val="21"/>
                                    </w:rPr>
                                  </w:pPr>
                                  <w:r>
                                    <w:rPr>
                                      <w:color w:val="000000"/>
                                      <w:sz w:val="21"/>
                                    </w:rPr>
                                    <w:t>王文明</w:t>
                                  </w:r>
                                </w:p>
                              </w:tc>
                              <w:tc>
                                <w:tcPr>
                                  <w:tcW w:w="1604" w:type="dxa"/>
                                  <w:tcBorders>
                                    <w:bottom w:val="single" w:color="000000" w:sz="4" w:space="0"/>
                                    <w:right w:val="single" w:color="000000" w:sz="4" w:space="0"/>
                                  </w:tcBorders>
                                  <w:noWrap w:val="0"/>
                                  <w:vAlign w:val="center"/>
                                </w:tcPr>
                                <w:p w14:paraId="74BE4E23">
                                  <w:pPr>
                                    <w:pStyle w:val="31"/>
                                    <w:spacing w:line="277" w:lineRule="atLeast"/>
                                    <w:textAlignment w:val="center"/>
                                    <w:rPr>
                                      <w:color w:val="000000"/>
                                      <w:sz w:val="21"/>
                                    </w:rPr>
                                  </w:pPr>
                                  <w:r>
                                    <w:rPr>
                                      <w:color w:val="000000"/>
                                      <w:sz w:val="21"/>
                                    </w:rPr>
                                    <w:t>陕西省榆林市</w:t>
                                  </w:r>
                                </w:p>
                                <w:p w14:paraId="0EEBB759">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7DAE2AC2">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57A68FF8">
                                  <w:pPr>
                                    <w:pStyle w:val="31"/>
                                    <w:spacing w:line="277" w:lineRule="atLeast"/>
                                    <w:jc w:val="center"/>
                                    <w:textAlignment w:val="center"/>
                                    <w:rPr>
                                      <w:color w:val="000000"/>
                                      <w:sz w:val="21"/>
                                    </w:rPr>
                                  </w:pPr>
                                  <w:r>
                                    <w:rPr>
                                      <w:color w:val="000000"/>
                                      <w:sz w:val="21"/>
                                    </w:rPr>
                                    <w:t>13571211257</w:t>
                                  </w:r>
                                </w:p>
                              </w:tc>
                              <w:tc>
                                <w:tcPr>
                                  <w:tcW w:w="1014" w:type="dxa"/>
                                  <w:tcBorders>
                                    <w:bottom w:val="single" w:color="000000" w:sz="4" w:space="0"/>
                                  </w:tcBorders>
                                  <w:noWrap w:val="0"/>
                                  <w:vAlign w:val="center"/>
                                </w:tcPr>
                                <w:p w14:paraId="5D2BB180">
                                  <w:pPr>
                                    <w:pStyle w:val="31"/>
                                    <w:spacing w:line="277" w:lineRule="atLeast"/>
                                    <w:jc w:val="center"/>
                                    <w:textAlignment w:val="center"/>
                                    <w:rPr>
                                      <w:color w:val="000000"/>
                                      <w:sz w:val="21"/>
                                    </w:rPr>
                                  </w:pPr>
                                  <w:r>
                                    <w:rPr>
                                      <w:color w:val="000000"/>
                                      <w:sz w:val="21"/>
                                    </w:rPr>
                                    <w:t>2010.9.14</w:t>
                                  </w:r>
                                </w:p>
                              </w:tc>
                            </w:tr>
                            <w:tr w14:paraId="049D2AD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702" w:hRule="exact"/>
                              </w:trPr>
                              <w:tc>
                                <w:tcPr>
                                  <w:tcW w:w="578" w:type="dxa"/>
                                  <w:tcBorders>
                                    <w:bottom w:val="single" w:color="000000" w:sz="4" w:space="0"/>
                                    <w:right w:val="single" w:color="000000" w:sz="4" w:space="0"/>
                                  </w:tcBorders>
                                  <w:noWrap w:val="0"/>
                                  <w:vAlign w:val="center"/>
                                </w:tcPr>
                                <w:p w14:paraId="5308C6E6">
                                  <w:pPr>
                                    <w:pStyle w:val="31"/>
                                    <w:spacing w:line="277" w:lineRule="atLeast"/>
                                    <w:jc w:val="center"/>
                                    <w:textAlignment w:val="center"/>
                                    <w:rPr>
                                      <w:color w:val="000000"/>
                                      <w:sz w:val="21"/>
                                    </w:rPr>
                                  </w:pPr>
                                  <w:r>
                                    <w:rPr>
                                      <w:color w:val="000000"/>
                                      <w:sz w:val="21"/>
                                    </w:rPr>
                                    <w:t>14</w:t>
                                  </w:r>
                                </w:p>
                              </w:tc>
                              <w:tc>
                                <w:tcPr>
                                  <w:tcW w:w="2568" w:type="dxa"/>
                                  <w:tcBorders>
                                    <w:bottom w:val="single" w:color="000000" w:sz="4" w:space="0"/>
                                    <w:right w:val="single" w:color="000000" w:sz="4" w:space="0"/>
                                  </w:tcBorders>
                                  <w:noWrap w:val="0"/>
                                  <w:vAlign w:val="center"/>
                                </w:tcPr>
                                <w:p w14:paraId="11F146BB">
                                  <w:pPr>
                                    <w:pStyle w:val="31"/>
                                    <w:spacing w:line="277" w:lineRule="atLeast"/>
                                    <w:textAlignment w:val="center"/>
                                    <w:rPr>
                                      <w:color w:val="000000"/>
                                      <w:sz w:val="21"/>
                                    </w:rPr>
                                  </w:pPr>
                                  <w:r>
                                    <w:rPr>
                                      <w:color w:val="000000"/>
                                      <w:sz w:val="21"/>
                                    </w:rPr>
                                    <w:t>神木县鑫祥电化有限责任公司</w:t>
                                  </w:r>
                                </w:p>
                              </w:tc>
                              <w:tc>
                                <w:tcPr>
                                  <w:tcW w:w="793" w:type="dxa"/>
                                  <w:tcBorders>
                                    <w:bottom w:val="single" w:color="000000" w:sz="4" w:space="0"/>
                                    <w:right w:val="single" w:color="000000" w:sz="4" w:space="0"/>
                                  </w:tcBorders>
                                  <w:noWrap w:val="0"/>
                                  <w:vAlign w:val="center"/>
                                </w:tcPr>
                                <w:p w14:paraId="65E6AC4A">
                                  <w:pPr>
                                    <w:pStyle w:val="31"/>
                                    <w:spacing w:line="277" w:lineRule="atLeast"/>
                                    <w:jc w:val="center"/>
                                    <w:textAlignment w:val="center"/>
                                    <w:rPr>
                                      <w:color w:val="000000"/>
                                      <w:sz w:val="21"/>
                                    </w:rPr>
                                  </w:pPr>
                                  <w:r>
                                    <w:rPr>
                                      <w:color w:val="000000"/>
                                      <w:sz w:val="21"/>
                                    </w:rPr>
                                    <w:t>孙治和</w:t>
                                  </w:r>
                                </w:p>
                              </w:tc>
                              <w:tc>
                                <w:tcPr>
                                  <w:tcW w:w="1604" w:type="dxa"/>
                                  <w:tcBorders>
                                    <w:bottom w:val="single" w:color="000000" w:sz="4" w:space="0"/>
                                    <w:right w:val="single" w:color="000000" w:sz="4" w:space="0"/>
                                  </w:tcBorders>
                                  <w:noWrap w:val="0"/>
                                  <w:vAlign w:val="center"/>
                                </w:tcPr>
                                <w:p w14:paraId="7DDC166C">
                                  <w:pPr>
                                    <w:pStyle w:val="31"/>
                                    <w:spacing w:line="277" w:lineRule="atLeast"/>
                                    <w:textAlignment w:val="center"/>
                                    <w:rPr>
                                      <w:color w:val="000000"/>
                                      <w:sz w:val="21"/>
                                    </w:rPr>
                                  </w:pPr>
                                  <w:r>
                                    <w:rPr>
                                      <w:color w:val="000000"/>
                                      <w:sz w:val="21"/>
                                    </w:rPr>
                                    <w:t>陕西省榆林市</w:t>
                                  </w:r>
                                </w:p>
                                <w:p w14:paraId="0580C3F4">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1E1008CD">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1805D1E2">
                                  <w:pPr>
                                    <w:pStyle w:val="31"/>
                                    <w:spacing w:line="277" w:lineRule="atLeast"/>
                                    <w:jc w:val="center"/>
                                    <w:textAlignment w:val="center"/>
                                    <w:rPr>
                                      <w:color w:val="000000"/>
                                      <w:sz w:val="21"/>
                                    </w:rPr>
                                  </w:pPr>
                                  <w:r>
                                    <w:rPr>
                                      <w:color w:val="000000"/>
                                      <w:sz w:val="21"/>
                                    </w:rPr>
                                    <w:t>13891274698</w:t>
                                  </w:r>
                                </w:p>
                              </w:tc>
                              <w:tc>
                                <w:tcPr>
                                  <w:tcW w:w="1014" w:type="dxa"/>
                                  <w:tcBorders>
                                    <w:bottom w:val="single" w:color="000000" w:sz="4" w:space="0"/>
                                  </w:tcBorders>
                                  <w:noWrap w:val="0"/>
                                  <w:vAlign w:val="center"/>
                                </w:tcPr>
                                <w:p w14:paraId="2D384694">
                                  <w:pPr>
                                    <w:pStyle w:val="31"/>
                                    <w:spacing w:line="277" w:lineRule="atLeast"/>
                                    <w:jc w:val="center"/>
                                    <w:textAlignment w:val="center"/>
                                    <w:rPr>
                                      <w:color w:val="000000"/>
                                      <w:sz w:val="21"/>
                                    </w:rPr>
                                  </w:pPr>
                                  <w:r>
                                    <w:rPr>
                                      <w:color w:val="000000"/>
                                      <w:sz w:val="21"/>
                                    </w:rPr>
                                    <w:t>2010.9.14</w:t>
                                  </w:r>
                                </w:p>
                              </w:tc>
                            </w:tr>
                            <w:tr w14:paraId="66681F6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right w:val="single" w:color="000000" w:sz="4" w:space="0"/>
                                  </w:tcBorders>
                                  <w:noWrap w:val="0"/>
                                  <w:vAlign w:val="center"/>
                                </w:tcPr>
                                <w:p w14:paraId="2EDD3181">
                                  <w:pPr>
                                    <w:pStyle w:val="31"/>
                                    <w:spacing w:line="277" w:lineRule="atLeast"/>
                                    <w:jc w:val="center"/>
                                    <w:textAlignment w:val="center"/>
                                    <w:rPr>
                                      <w:color w:val="000000"/>
                                      <w:sz w:val="21"/>
                                    </w:rPr>
                                  </w:pPr>
                                  <w:r>
                                    <w:rPr>
                                      <w:color w:val="000000"/>
                                      <w:sz w:val="21"/>
                                    </w:rPr>
                                    <w:t>15</w:t>
                                  </w:r>
                                </w:p>
                              </w:tc>
                              <w:tc>
                                <w:tcPr>
                                  <w:tcW w:w="2568" w:type="dxa"/>
                                  <w:tcBorders>
                                    <w:right w:val="single" w:color="000000" w:sz="4" w:space="0"/>
                                  </w:tcBorders>
                                  <w:noWrap w:val="0"/>
                                  <w:vAlign w:val="center"/>
                                </w:tcPr>
                                <w:p w14:paraId="463AC453">
                                  <w:pPr>
                                    <w:pStyle w:val="31"/>
                                    <w:spacing w:line="277" w:lineRule="atLeast"/>
                                    <w:textAlignment w:val="center"/>
                                    <w:rPr>
                                      <w:color w:val="000000"/>
                                      <w:sz w:val="21"/>
                                    </w:rPr>
                                  </w:pPr>
                                  <w:r>
                                    <w:rPr>
                                      <w:color w:val="000000"/>
                                      <w:sz w:val="21"/>
                                    </w:rPr>
                                    <w:t>神木县众兴化工有限责任公司</w:t>
                                  </w:r>
                                </w:p>
                              </w:tc>
                              <w:tc>
                                <w:tcPr>
                                  <w:tcW w:w="793" w:type="dxa"/>
                                  <w:tcBorders>
                                    <w:right w:val="single" w:color="000000" w:sz="4" w:space="0"/>
                                  </w:tcBorders>
                                  <w:noWrap w:val="0"/>
                                  <w:vAlign w:val="center"/>
                                </w:tcPr>
                                <w:p w14:paraId="354FB075">
                                  <w:pPr>
                                    <w:pStyle w:val="31"/>
                                    <w:spacing w:line="277" w:lineRule="atLeast"/>
                                    <w:jc w:val="center"/>
                                    <w:textAlignment w:val="center"/>
                                    <w:rPr>
                                      <w:color w:val="000000"/>
                                      <w:sz w:val="21"/>
                                    </w:rPr>
                                  </w:pPr>
                                  <w:r>
                                    <w:rPr>
                                      <w:color w:val="000000"/>
                                      <w:sz w:val="21"/>
                                    </w:rPr>
                                    <w:t>孙四宽</w:t>
                                  </w:r>
                                </w:p>
                              </w:tc>
                              <w:tc>
                                <w:tcPr>
                                  <w:tcW w:w="1604" w:type="dxa"/>
                                  <w:tcBorders>
                                    <w:right w:val="single" w:color="000000" w:sz="4" w:space="0"/>
                                  </w:tcBorders>
                                  <w:noWrap w:val="0"/>
                                  <w:vAlign w:val="center"/>
                                </w:tcPr>
                                <w:p w14:paraId="6639D1F6">
                                  <w:pPr>
                                    <w:pStyle w:val="31"/>
                                    <w:spacing w:line="277" w:lineRule="atLeast"/>
                                    <w:textAlignment w:val="center"/>
                                    <w:rPr>
                                      <w:color w:val="000000"/>
                                      <w:sz w:val="21"/>
                                    </w:rPr>
                                  </w:pPr>
                                  <w:r>
                                    <w:rPr>
                                      <w:color w:val="000000"/>
                                      <w:sz w:val="21"/>
                                    </w:rPr>
                                    <w:t>陕西省榆林市</w:t>
                                  </w:r>
                                </w:p>
                                <w:p w14:paraId="125CE619">
                                  <w:pPr>
                                    <w:pStyle w:val="31"/>
                                    <w:spacing w:line="277" w:lineRule="atLeast"/>
                                    <w:textAlignment w:val="center"/>
                                    <w:rPr>
                                      <w:color w:val="000000"/>
                                      <w:sz w:val="21"/>
                                    </w:rPr>
                                  </w:pPr>
                                  <w:r>
                                    <w:rPr>
                                      <w:color w:val="000000"/>
                                      <w:sz w:val="21"/>
                                    </w:rPr>
                                    <w:t>神木县</w:t>
                                  </w:r>
                                </w:p>
                              </w:tc>
                              <w:tc>
                                <w:tcPr>
                                  <w:tcW w:w="1218" w:type="dxa"/>
                                  <w:tcBorders>
                                    <w:right w:val="single" w:color="000000" w:sz="4" w:space="0"/>
                                  </w:tcBorders>
                                  <w:noWrap w:val="0"/>
                                  <w:vAlign w:val="center"/>
                                </w:tcPr>
                                <w:p w14:paraId="43E1D152">
                                  <w:pPr>
                                    <w:pStyle w:val="31"/>
                                    <w:spacing w:line="277" w:lineRule="atLeast"/>
                                    <w:jc w:val="center"/>
                                    <w:textAlignment w:val="center"/>
                                    <w:rPr>
                                      <w:color w:val="000000"/>
                                      <w:sz w:val="21"/>
                                    </w:rPr>
                                  </w:pPr>
                                  <w:r>
                                    <w:rPr>
                                      <w:color w:val="000000"/>
                                      <w:sz w:val="21"/>
                                    </w:rPr>
                                    <w:t>无机盐制造</w:t>
                                  </w:r>
                                </w:p>
                              </w:tc>
                              <w:tc>
                                <w:tcPr>
                                  <w:tcW w:w="1349" w:type="dxa"/>
                                  <w:tcBorders>
                                    <w:right w:val="single" w:color="000000" w:sz="4" w:space="0"/>
                                  </w:tcBorders>
                                  <w:noWrap w:val="0"/>
                                  <w:vAlign w:val="center"/>
                                </w:tcPr>
                                <w:p w14:paraId="5813EEE6">
                                  <w:pPr>
                                    <w:pStyle w:val="31"/>
                                    <w:spacing w:line="277" w:lineRule="atLeast"/>
                                    <w:jc w:val="center"/>
                                    <w:textAlignment w:val="center"/>
                                    <w:rPr>
                                      <w:color w:val="000000"/>
                                      <w:sz w:val="21"/>
                                    </w:rPr>
                                  </w:pPr>
                                  <w:r>
                                    <w:rPr>
                                      <w:color w:val="000000"/>
                                      <w:sz w:val="21"/>
                                    </w:rPr>
                                    <w:t>13772946969</w:t>
                                  </w:r>
                                </w:p>
                              </w:tc>
                              <w:tc>
                                <w:tcPr>
                                  <w:tcW w:w="1014" w:type="dxa"/>
                                  <w:noWrap w:val="0"/>
                                  <w:vAlign w:val="center"/>
                                </w:tcPr>
                                <w:p w14:paraId="7F57B624">
                                  <w:pPr>
                                    <w:pStyle w:val="31"/>
                                    <w:spacing w:line="277" w:lineRule="atLeast"/>
                                    <w:jc w:val="center"/>
                                    <w:textAlignment w:val="center"/>
                                    <w:rPr>
                                      <w:color w:val="000000"/>
                                      <w:sz w:val="21"/>
                                    </w:rPr>
                                  </w:pPr>
                                  <w:r>
                                    <w:rPr>
                                      <w:color w:val="000000"/>
                                      <w:sz w:val="21"/>
                                    </w:rPr>
                                    <w:t>2010.9.14</w:t>
                                  </w:r>
                                </w:p>
                              </w:tc>
                            </w:tr>
                          </w:tbl>
                          <w:p w14:paraId="4C7B3E8B">
                            <w:pPr>
                              <w:rPr>
                                <w:color w:val="000000"/>
                                <w:sz w:val="21"/>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169093.2pt;margin-top:-169093.2pt;height:558.15pt;width:456.35pt;mso-position-horizontal-relative:page;mso-position-vertical-relative:page;mso-wrap-distance-bottom:0pt;mso-wrap-distance-left:9pt;mso-wrap-distance-right:9pt;mso-wrap-distance-top:0pt;z-index:251661312;mso-width-relative:page;mso-height-relative:page;" filled="f" stroked="t" coordsize="21600,21600" o:gfxdata="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FDlPc3gAAABsBAAAPAAAAAAAAAAEAIAAAACIA&#10;AABkcnMvZG93bnJldi54bWxQSwECFAAUAAAACACHTuJAb5r5ezwCAABdBAAADgAAAAAAAAABACAA&#10;AAAtAQAAZHJzL2Uyb0RvYy54bWxQSwUGAAAAAAYABgBZAQAA2wUAAAAA&#10;">
                <v:fill on="f" focussize="0,0"/>
                <v:stroke color="#000000" miterlimit="8" joinstyle="miter"/>
                <v:imagedata o:title=""/>
                <o:lock v:ext="edit" aspectratio="f"/>
                <v:textbox inset="0mm,0mm,0mm,0mm">
                  <w:txbxContent>
                    <w:tbl>
                      <w:tblPr>
                        <w:tblStyle w:val="21"/>
                        <w:tblW w:w="0" w:type="auto"/>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578"/>
                        <w:gridCol w:w="2568"/>
                        <w:gridCol w:w="793"/>
                        <w:gridCol w:w="1604"/>
                        <w:gridCol w:w="1218"/>
                        <w:gridCol w:w="1349"/>
                        <w:gridCol w:w="1014"/>
                      </w:tblGrid>
                      <w:tr w14:paraId="2A71118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6E969723">
                            <w:pPr>
                              <w:pStyle w:val="31"/>
                              <w:spacing w:line="277" w:lineRule="atLeast"/>
                              <w:jc w:val="center"/>
                              <w:textAlignment w:val="center"/>
                              <w:rPr>
                                <w:color w:val="000000"/>
                                <w:sz w:val="21"/>
                              </w:rPr>
                            </w:pPr>
                            <w:r>
                              <w:rPr>
                                <w:color w:val="000000"/>
                                <w:sz w:val="21"/>
                              </w:rPr>
                              <w:t>序号</w:t>
                            </w:r>
                          </w:p>
                        </w:tc>
                        <w:tc>
                          <w:tcPr>
                            <w:tcW w:w="2568" w:type="dxa"/>
                            <w:tcBorders>
                              <w:bottom w:val="single" w:color="000000" w:sz="4" w:space="0"/>
                              <w:right w:val="single" w:color="000000" w:sz="4" w:space="0"/>
                            </w:tcBorders>
                            <w:noWrap w:val="0"/>
                            <w:vAlign w:val="center"/>
                          </w:tcPr>
                          <w:p w14:paraId="221366F3">
                            <w:pPr>
                              <w:pStyle w:val="31"/>
                              <w:spacing w:line="277" w:lineRule="atLeast"/>
                              <w:jc w:val="center"/>
                              <w:textAlignment w:val="center"/>
                              <w:rPr>
                                <w:color w:val="000000"/>
                                <w:sz w:val="21"/>
                              </w:rPr>
                            </w:pPr>
                            <w:r>
                              <w:rPr>
                                <w:color w:val="000000"/>
                                <w:sz w:val="21"/>
                              </w:rPr>
                              <w:t>单位名称</w:t>
                            </w:r>
                          </w:p>
                        </w:tc>
                        <w:tc>
                          <w:tcPr>
                            <w:tcW w:w="793" w:type="dxa"/>
                            <w:tcBorders>
                              <w:bottom w:val="single" w:color="000000" w:sz="4" w:space="0"/>
                              <w:right w:val="single" w:color="000000" w:sz="4" w:space="0"/>
                            </w:tcBorders>
                            <w:noWrap w:val="0"/>
                            <w:vAlign w:val="center"/>
                          </w:tcPr>
                          <w:p w14:paraId="7F9A783D">
                            <w:pPr>
                              <w:pStyle w:val="31"/>
                              <w:spacing w:line="277" w:lineRule="atLeast"/>
                              <w:jc w:val="center"/>
                              <w:textAlignment w:val="center"/>
                              <w:rPr>
                                <w:color w:val="000000"/>
                                <w:sz w:val="21"/>
                              </w:rPr>
                            </w:pPr>
                            <w:r>
                              <w:rPr>
                                <w:color w:val="000000"/>
                                <w:sz w:val="21"/>
                              </w:rPr>
                              <w:t>法定</w:t>
                            </w:r>
                          </w:p>
                          <w:p w14:paraId="6B784A67">
                            <w:pPr>
                              <w:pStyle w:val="31"/>
                              <w:spacing w:line="277" w:lineRule="atLeast"/>
                              <w:jc w:val="center"/>
                              <w:textAlignment w:val="center"/>
                              <w:rPr>
                                <w:color w:val="000000"/>
                                <w:sz w:val="21"/>
                              </w:rPr>
                            </w:pPr>
                            <w:r>
                              <w:rPr>
                                <w:color w:val="000000"/>
                                <w:sz w:val="21"/>
                              </w:rPr>
                              <w:t>代表人</w:t>
                            </w:r>
                          </w:p>
                        </w:tc>
                        <w:tc>
                          <w:tcPr>
                            <w:tcW w:w="1604" w:type="dxa"/>
                            <w:tcBorders>
                              <w:bottom w:val="single" w:color="000000" w:sz="4" w:space="0"/>
                              <w:right w:val="single" w:color="000000" w:sz="4" w:space="0"/>
                            </w:tcBorders>
                            <w:noWrap w:val="0"/>
                            <w:vAlign w:val="center"/>
                          </w:tcPr>
                          <w:p w14:paraId="6DA28B45">
                            <w:pPr>
                              <w:pStyle w:val="31"/>
                              <w:spacing w:line="277" w:lineRule="atLeast"/>
                              <w:jc w:val="center"/>
                              <w:textAlignment w:val="center"/>
                              <w:rPr>
                                <w:color w:val="000000"/>
                                <w:sz w:val="21"/>
                              </w:rPr>
                            </w:pPr>
                            <w:r>
                              <w:rPr>
                                <w:color w:val="000000"/>
                                <w:sz w:val="21"/>
                              </w:rPr>
                              <w:t>所属行政区</w:t>
                            </w:r>
                          </w:p>
                        </w:tc>
                        <w:tc>
                          <w:tcPr>
                            <w:tcW w:w="1218" w:type="dxa"/>
                            <w:tcBorders>
                              <w:bottom w:val="single" w:color="000000" w:sz="4" w:space="0"/>
                              <w:right w:val="single" w:color="000000" w:sz="4" w:space="0"/>
                            </w:tcBorders>
                            <w:noWrap w:val="0"/>
                            <w:vAlign w:val="center"/>
                          </w:tcPr>
                          <w:p w14:paraId="753FEAC6">
                            <w:pPr>
                              <w:pStyle w:val="31"/>
                              <w:spacing w:line="277" w:lineRule="atLeast"/>
                              <w:jc w:val="center"/>
                              <w:textAlignment w:val="center"/>
                              <w:rPr>
                                <w:color w:val="000000"/>
                                <w:sz w:val="21"/>
                              </w:rPr>
                            </w:pPr>
                            <w:r>
                              <w:rPr>
                                <w:color w:val="000000"/>
                                <w:sz w:val="21"/>
                              </w:rPr>
                              <w:t>行业类别</w:t>
                            </w:r>
                          </w:p>
                        </w:tc>
                        <w:tc>
                          <w:tcPr>
                            <w:tcW w:w="1349" w:type="dxa"/>
                            <w:tcBorders>
                              <w:bottom w:val="single" w:color="000000" w:sz="4" w:space="0"/>
                              <w:right w:val="single" w:color="000000" w:sz="4" w:space="0"/>
                            </w:tcBorders>
                            <w:noWrap w:val="0"/>
                            <w:vAlign w:val="center"/>
                          </w:tcPr>
                          <w:p w14:paraId="024A85E9">
                            <w:pPr>
                              <w:pStyle w:val="31"/>
                              <w:spacing w:line="277" w:lineRule="atLeast"/>
                              <w:jc w:val="center"/>
                              <w:textAlignment w:val="center"/>
                              <w:rPr>
                                <w:color w:val="000000"/>
                                <w:sz w:val="21"/>
                              </w:rPr>
                            </w:pPr>
                            <w:r>
                              <w:rPr>
                                <w:color w:val="000000"/>
                                <w:sz w:val="21"/>
                              </w:rPr>
                              <w:t>联系电话</w:t>
                            </w:r>
                          </w:p>
                        </w:tc>
                        <w:tc>
                          <w:tcPr>
                            <w:tcW w:w="1014" w:type="dxa"/>
                            <w:tcBorders>
                              <w:bottom w:val="single" w:color="000000" w:sz="4" w:space="0"/>
                            </w:tcBorders>
                            <w:noWrap w:val="0"/>
                            <w:vAlign w:val="center"/>
                          </w:tcPr>
                          <w:p w14:paraId="73ED0F20">
                            <w:pPr>
                              <w:pStyle w:val="31"/>
                              <w:spacing w:line="277" w:lineRule="atLeast"/>
                              <w:jc w:val="center"/>
                              <w:textAlignment w:val="center"/>
                              <w:rPr>
                                <w:color w:val="000000"/>
                                <w:sz w:val="21"/>
                              </w:rPr>
                            </w:pPr>
                            <w:r>
                              <w:rPr>
                                <w:color w:val="000000"/>
                                <w:sz w:val="21"/>
                              </w:rPr>
                              <w:t>填报时间</w:t>
                            </w:r>
                          </w:p>
                        </w:tc>
                      </w:tr>
                      <w:tr w14:paraId="60C80E6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42585F53">
                            <w:pPr>
                              <w:pStyle w:val="31"/>
                              <w:spacing w:line="277" w:lineRule="atLeast"/>
                              <w:jc w:val="center"/>
                              <w:textAlignment w:val="center"/>
                              <w:rPr>
                                <w:color w:val="000000"/>
                                <w:sz w:val="21"/>
                              </w:rPr>
                            </w:pPr>
                            <w:r>
                              <w:rPr>
                                <w:color w:val="000000"/>
                                <w:sz w:val="21"/>
                              </w:rPr>
                              <w:t>1</w:t>
                            </w:r>
                          </w:p>
                        </w:tc>
                        <w:tc>
                          <w:tcPr>
                            <w:tcW w:w="2568" w:type="dxa"/>
                            <w:tcBorders>
                              <w:bottom w:val="single" w:color="000000" w:sz="4" w:space="0"/>
                              <w:right w:val="single" w:color="000000" w:sz="4" w:space="0"/>
                            </w:tcBorders>
                            <w:noWrap w:val="0"/>
                            <w:vAlign w:val="center"/>
                          </w:tcPr>
                          <w:p w14:paraId="294BA4A4">
                            <w:pPr>
                              <w:pStyle w:val="31"/>
                              <w:spacing w:line="277" w:lineRule="atLeast"/>
                              <w:textAlignment w:val="center"/>
                              <w:rPr>
                                <w:color w:val="000000"/>
                                <w:sz w:val="21"/>
                              </w:rPr>
                            </w:pPr>
                            <w:r>
                              <w:rPr>
                                <w:rFonts w:hint="eastAsia"/>
                                <w:color w:val="000000"/>
                                <w:sz w:val="21"/>
                              </w:rPr>
                              <w:t>额尔古纳市</w:t>
                            </w:r>
                            <w:r>
                              <w:rPr>
                                <w:color w:val="000000"/>
                                <w:sz w:val="21"/>
                              </w:rPr>
                              <w:t>金泰镁业化工有限公司</w:t>
                            </w:r>
                          </w:p>
                        </w:tc>
                        <w:tc>
                          <w:tcPr>
                            <w:tcW w:w="793" w:type="dxa"/>
                            <w:tcBorders>
                              <w:bottom w:val="single" w:color="000000" w:sz="4" w:space="0"/>
                              <w:right w:val="single" w:color="000000" w:sz="4" w:space="0"/>
                            </w:tcBorders>
                            <w:noWrap w:val="0"/>
                            <w:vAlign w:val="center"/>
                          </w:tcPr>
                          <w:p w14:paraId="6987A6F2">
                            <w:pPr>
                              <w:pStyle w:val="31"/>
                              <w:spacing w:line="277" w:lineRule="atLeast"/>
                              <w:jc w:val="center"/>
                              <w:textAlignment w:val="center"/>
                              <w:rPr>
                                <w:color w:val="000000"/>
                                <w:sz w:val="21"/>
                              </w:rPr>
                            </w:pPr>
                            <w:r>
                              <w:rPr>
                                <w:color w:val="000000"/>
                                <w:sz w:val="21"/>
                              </w:rPr>
                              <w:t>王文明</w:t>
                            </w:r>
                          </w:p>
                        </w:tc>
                        <w:tc>
                          <w:tcPr>
                            <w:tcW w:w="1604" w:type="dxa"/>
                            <w:tcBorders>
                              <w:bottom w:val="single" w:color="000000" w:sz="4" w:space="0"/>
                              <w:right w:val="single" w:color="000000" w:sz="4" w:space="0"/>
                            </w:tcBorders>
                            <w:noWrap w:val="0"/>
                            <w:vAlign w:val="center"/>
                          </w:tcPr>
                          <w:p w14:paraId="75691341">
                            <w:pPr>
                              <w:pStyle w:val="31"/>
                              <w:spacing w:line="277" w:lineRule="atLeast"/>
                              <w:textAlignment w:val="center"/>
                              <w:rPr>
                                <w:color w:val="000000"/>
                                <w:sz w:val="21"/>
                              </w:rPr>
                            </w:pPr>
                            <w:r>
                              <w:rPr>
                                <w:color w:val="000000"/>
                                <w:sz w:val="21"/>
                              </w:rPr>
                              <w:t>陕西省榆林市</w:t>
                            </w:r>
                          </w:p>
                          <w:p w14:paraId="7206661C">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65112028">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15826E50">
                            <w:pPr>
                              <w:pStyle w:val="31"/>
                              <w:spacing w:line="277" w:lineRule="atLeast"/>
                              <w:jc w:val="center"/>
                              <w:textAlignment w:val="center"/>
                              <w:rPr>
                                <w:color w:val="000000"/>
                                <w:sz w:val="21"/>
                              </w:rPr>
                            </w:pPr>
                            <w:r>
                              <w:rPr>
                                <w:color w:val="000000"/>
                                <w:sz w:val="21"/>
                              </w:rPr>
                              <w:t>0912-8452995</w:t>
                            </w:r>
                          </w:p>
                        </w:tc>
                        <w:tc>
                          <w:tcPr>
                            <w:tcW w:w="1014" w:type="dxa"/>
                            <w:tcBorders>
                              <w:bottom w:val="single" w:color="000000" w:sz="4" w:space="0"/>
                            </w:tcBorders>
                            <w:noWrap w:val="0"/>
                            <w:vAlign w:val="center"/>
                          </w:tcPr>
                          <w:p w14:paraId="3150C462">
                            <w:pPr>
                              <w:pStyle w:val="31"/>
                              <w:spacing w:line="277" w:lineRule="atLeast"/>
                              <w:jc w:val="center"/>
                              <w:textAlignment w:val="center"/>
                              <w:rPr>
                                <w:color w:val="000000"/>
                                <w:sz w:val="21"/>
                              </w:rPr>
                            </w:pPr>
                            <w:r>
                              <w:rPr>
                                <w:color w:val="000000"/>
                                <w:sz w:val="21"/>
                              </w:rPr>
                              <w:t>2010.8.6</w:t>
                            </w:r>
                          </w:p>
                        </w:tc>
                      </w:tr>
                      <w:tr w14:paraId="75FBE25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4857420A">
                            <w:pPr>
                              <w:pStyle w:val="31"/>
                              <w:spacing w:line="277" w:lineRule="atLeast"/>
                              <w:jc w:val="center"/>
                              <w:textAlignment w:val="center"/>
                              <w:rPr>
                                <w:color w:val="000000"/>
                                <w:sz w:val="21"/>
                              </w:rPr>
                            </w:pPr>
                            <w:r>
                              <w:rPr>
                                <w:color w:val="000000"/>
                                <w:sz w:val="21"/>
                              </w:rPr>
                              <w:t>2</w:t>
                            </w:r>
                          </w:p>
                        </w:tc>
                        <w:tc>
                          <w:tcPr>
                            <w:tcW w:w="2568" w:type="dxa"/>
                            <w:tcBorders>
                              <w:bottom w:val="single" w:color="000000" w:sz="4" w:space="0"/>
                              <w:right w:val="single" w:color="000000" w:sz="4" w:space="0"/>
                            </w:tcBorders>
                            <w:noWrap w:val="0"/>
                            <w:vAlign w:val="center"/>
                          </w:tcPr>
                          <w:p w14:paraId="331C0A0A">
                            <w:pPr>
                              <w:pStyle w:val="31"/>
                              <w:spacing w:line="277" w:lineRule="atLeast"/>
                              <w:textAlignment w:val="center"/>
                              <w:rPr>
                                <w:color w:val="000000"/>
                                <w:sz w:val="21"/>
                              </w:rPr>
                            </w:pPr>
                            <w:r>
                              <w:rPr>
                                <w:color w:val="000000"/>
                                <w:sz w:val="21"/>
                              </w:rPr>
                              <w:t>神木县四海煤化工有限责任公司</w:t>
                            </w:r>
                          </w:p>
                        </w:tc>
                        <w:tc>
                          <w:tcPr>
                            <w:tcW w:w="793" w:type="dxa"/>
                            <w:tcBorders>
                              <w:bottom w:val="single" w:color="000000" w:sz="4" w:space="0"/>
                              <w:right w:val="single" w:color="000000" w:sz="4" w:space="0"/>
                            </w:tcBorders>
                            <w:noWrap w:val="0"/>
                            <w:vAlign w:val="center"/>
                          </w:tcPr>
                          <w:p w14:paraId="09EA6C2A">
                            <w:pPr>
                              <w:pStyle w:val="31"/>
                              <w:spacing w:line="277" w:lineRule="atLeast"/>
                              <w:jc w:val="center"/>
                              <w:textAlignment w:val="center"/>
                              <w:rPr>
                                <w:color w:val="000000"/>
                                <w:sz w:val="21"/>
                              </w:rPr>
                            </w:pPr>
                            <w:r>
                              <w:rPr>
                                <w:color w:val="000000"/>
                                <w:sz w:val="21"/>
                              </w:rPr>
                              <w:t>尚文智</w:t>
                            </w:r>
                          </w:p>
                        </w:tc>
                        <w:tc>
                          <w:tcPr>
                            <w:tcW w:w="1604" w:type="dxa"/>
                            <w:tcBorders>
                              <w:bottom w:val="single" w:color="000000" w:sz="4" w:space="0"/>
                              <w:right w:val="single" w:color="000000" w:sz="4" w:space="0"/>
                            </w:tcBorders>
                            <w:noWrap w:val="0"/>
                            <w:vAlign w:val="center"/>
                          </w:tcPr>
                          <w:p w14:paraId="39109705">
                            <w:pPr>
                              <w:pStyle w:val="31"/>
                              <w:spacing w:line="277" w:lineRule="atLeast"/>
                              <w:textAlignment w:val="center"/>
                              <w:rPr>
                                <w:color w:val="000000"/>
                                <w:sz w:val="21"/>
                              </w:rPr>
                            </w:pPr>
                            <w:r>
                              <w:rPr>
                                <w:color w:val="000000"/>
                                <w:sz w:val="21"/>
                              </w:rPr>
                              <w:t>陕西省榆林市</w:t>
                            </w:r>
                          </w:p>
                          <w:p w14:paraId="5C0DC32C">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3EE86DB5">
                            <w:pPr>
                              <w:pStyle w:val="31"/>
                              <w:spacing w:line="277" w:lineRule="atLeast"/>
                              <w:jc w:val="center"/>
                              <w:textAlignment w:val="center"/>
                              <w:rPr>
                                <w:color w:val="000000"/>
                                <w:sz w:val="21"/>
                              </w:rPr>
                            </w:pPr>
                            <w:r>
                              <w:rPr>
                                <w:color w:val="000000"/>
                                <w:sz w:val="21"/>
                              </w:rPr>
                              <w:t>炼焦</w:t>
                            </w:r>
                          </w:p>
                        </w:tc>
                        <w:tc>
                          <w:tcPr>
                            <w:tcW w:w="1349" w:type="dxa"/>
                            <w:tcBorders>
                              <w:bottom w:val="single" w:color="000000" w:sz="4" w:space="0"/>
                              <w:right w:val="single" w:color="000000" w:sz="4" w:space="0"/>
                            </w:tcBorders>
                            <w:noWrap w:val="0"/>
                            <w:vAlign w:val="center"/>
                          </w:tcPr>
                          <w:p w14:paraId="575F8CFB">
                            <w:pPr>
                              <w:pStyle w:val="31"/>
                              <w:spacing w:line="277" w:lineRule="atLeast"/>
                              <w:jc w:val="center"/>
                              <w:textAlignment w:val="center"/>
                              <w:rPr>
                                <w:color w:val="000000"/>
                                <w:sz w:val="21"/>
                              </w:rPr>
                            </w:pPr>
                            <w:r>
                              <w:rPr>
                                <w:color w:val="000000"/>
                                <w:sz w:val="21"/>
                              </w:rPr>
                              <w:t>0912-8025009</w:t>
                            </w:r>
                          </w:p>
                        </w:tc>
                        <w:tc>
                          <w:tcPr>
                            <w:tcW w:w="1014" w:type="dxa"/>
                            <w:tcBorders>
                              <w:bottom w:val="single" w:color="000000" w:sz="4" w:space="0"/>
                            </w:tcBorders>
                            <w:noWrap w:val="0"/>
                            <w:vAlign w:val="center"/>
                          </w:tcPr>
                          <w:p w14:paraId="3172F7F6">
                            <w:pPr>
                              <w:pStyle w:val="31"/>
                              <w:spacing w:line="277" w:lineRule="atLeast"/>
                              <w:jc w:val="center"/>
                              <w:textAlignment w:val="center"/>
                              <w:rPr>
                                <w:color w:val="000000"/>
                                <w:sz w:val="21"/>
                              </w:rPr>
                            </w:pPr>
                            <w:r>
                              <w:rPr>
                                <w:color w:val="000000"/>
                                <w:sz w:val="21"/>
                              </w:rPr>
                              <w:t>2010.8.3</w:t>
                            </w:r>
                          </w:p>
                        </w:tc>
                      </w:tr>
                      <w:tr w14:paraId="2BD63D4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3CCE8E12">
                            <w:pPr>
                              <w:pStyle w:val="31"/>
                              <w:spacing w:line="277" w:lineRule="atLeast"/>
                              <w:jc w:val="center"/>
                              <w:textAlignment w:val="center"/>
                              <w:rPr>
                                <w:color w:val="000000"/>
                                <w:sz w:val="21"/>
                              </w:rPr>
                            </w:pPr>
                            <w:r>
                              <w:rPr>
                                <w:color w:val="000000"/>
                                <w:sz w:val="21"/>
                              </w:rPr>
                              <w:t>3</w:t>
                            </w:r>
                          </w:p>
                        </w:tc>
                        <w:tc>
                          <w:tcPr>
                            <w:tcW w:w="2568" w:type="dxa"/>
                            <w:tcBorders>
                              <w:bottom w:val="single" w:color="000000" w:sz="4" w:space="0"/>
                              <w:right w:val="single" w:color="000000" w:sz="4" w:space="0"/>
                            </w:tcBorders>
                            <w:noWrap w:val="0"/>
                            <w:vAlign w:val="center"/>
                          </w:tcPr>
                          <w:p w14:paraId="53980E49">
                            <w:pPr>
                              <w:pStyle w:val="31"/>
                              <w:spacing w:line="277" w:lineRule="atLeast"/>
                              <w:textAlignment w:val="center"/>
                              <w:rPr>
                                <w:color w:val="000000"/>
                                <w:sz w:val="21"/>
                              </w:rPr>
                            </w:pPr>
                            <w:r>
                              <w:rPr>
                                <w:color w:val="000000"/>
                                <w:sz w:val="21"/>
                              </w:rPr>
                              <w:t>陕西恒源煤电集团电化有限公司</w:t>
                            </w:r>
                          </w:p>
                        </w:tc>
                        <w:tc>
                          <w:tcPr>
                            <w:tcW w:w="793" w:type="dxa"/>
                            <w:tcBorders>
                              <w:bottom w:val="single" w:color="000000" w:sz="4" w:space="0"/>
                              <w:right w:val="single" w:color="000000" w:sz="4" w:space="0"/>
                            </w:tcBorders>
                            <w:noWrap w:val="0"/>
                            <w:vAlign w:val="center"/>
                          </w:tcPr>
                          <w:p w14:paraId="62857B92">
                            <w:pPr>
                              <w:pStyle w:val="31"/>
                              <w:spacing w:line="277" w:lineRule="atLeast"/>
                              <w:jc w:val="center"/>
                              <w:textAlignment w:val="center"/>
                              <w:rPr>
                                <w:color w:val="000000"/>
                                <w:sz w:val="21"/>
                              </w:rPr>
                            </w:pPr>
                            <w:r>
                              <w:rPr>
                                <w:color w:val="000000"/>
                                <w:sz w:val="21"/>
                              </w:rPr>
                              <w:t>高光胜</w:t>
                            </w:r>
                          </w:p>
                        </w:tc>
                        <w:tc>
                          <w:tcPr>
                            <w:tcW w:w="1604" w:type="dxa"/>
                            <w:tcBorders>
                              <w:bottom w:val="single" w:color="000000" w:sz="4" w:space="0"/>
                              <w:right w:val="single" w:color="000000" w:sz="4" w:space="0"/>
                            </w:tcBorders>
                            <w:noWrap w:val="0"/>
                            <w:vAlign w:val="center"/>
                          </w:tcPr>
                          <w:p w14:paraId="3E2B971F">
                            <w:pPr>
                              <w:pStyle w:val="31"/>
                              <w:spacing w:line="277" w:lineRule="atLeast"/>
                              <w:textAlignment w:val="center"/>
                              <w:rPr>
                                <w:color w:val="000000"/>
                                <w:sz w:val="21"/>
                              </w:rPr>
                            </w:pPr>
                            <w:r>
                              <w:rPr>
                                <w:color w:val="000000"/>
                                <w:sz w:val="21"/>
                              </w:rPr>
                              <w:t>陕西省榆林市</w:t>
                            </w:r>
                          </w:p>
                          <w:p w14:paraId="1157E24D">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4A846E83">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1F77D7D2">
                            <w:pPr>
                              <w:pStyle w:val="31"/>
                              <w:spacing w:line="277" w:lineRule="atLeast"/>
                              <w:jc w:val="center"/>
                              <w:textAlignment w:val="center"/>
                              <w:rPr>
                                <w:color w:val="000000"/>
                                <w:sz w:val="21"/>
                              </w:rPr>
                            </w:pPr>
                            <w:r>
                              <w:rPr>
                                <w:color w:val="000000"/>
                                <w:sz w:val="21"/>
                              </w:rPr>
                              <w:t>0912-8462093</w:t>
                            </w:r>
                          </w:p>
                        </w:tc>
                        <w:tc>
                          <w:tcPr>
                            <w:tcW w:w="1014" w:type="dxa"/>
                            <w:tcBorders>
                              <w:bottom w:val="single" w:color="000000" w:sz="4" w:space="0"/>
                            </w:tcBorders>
                            <w:noWrap w:val="0"/>
                            <w:vAlign w:val="center"/>
                          </w:tcPr>
                          <w:p w14:paraId="0837330C">
                            <w:pPr>
                              <w:pStyle w:val="31"/>
                              <w:spacing w:line="277" w:lineRule="atLeast"/>
                              <w:jc w:val="center"/>
                              <w:textAlignment w:val="center"/>
                              <w:rPr>
                                <w:color w:val="000000"/>
                                <w:sz w:val="21"/>
                              </w:rPr>
                            </w:pPr>
                            <w:r>
                              <w:rPr>
                                <w:color w:val="000000"/>
                                <w:sz w:val="21"/>
                              </w:rPr>
                              <w:t>2010.9.8</w:t>
                            </w:r>
                          </w:p>
                        </w:tc>
                      </w:tr>
                      <w:tr w14:paraId="51655AB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23F2B36A">
                            <w:pPr>
                              <w:pStyle w:val="31"/>
                              <w:spacing w:line="277" w:lineRule="atLeast"/>
                              <w:jc w:val="center"/>
                              <w:textAlignment w:val="center"/>
                              <w:rPr>
                                <w:color w:val="000000"/>
                                <w:sz w:val="21"/>
                              </w:rPr>
                            </w:pPr>
                            <w:r>
                              <w:rPr>
                                <w:color w:val="000000"/>
                                <w:sz w:val="21"/>
                              </w:rPr>
                              <w:t>4</w:t>
                            </w:r>
                          </w:p>
                        </w:tc>
                        <w:tc>
                          <w:tcPr>
                            <w:tcW w:w="2568" w:type="dxa"/>
                            <w:tcBorders>
                              <w:bottom w:val="single" w:color="000000" w:sz="4" w:space="0"/>
                              <w:right w:val="single" w:color="000000" w:sz="4" w:space="0"/>
                            </w:tcBorders>
                            <w:noWrap w:val="0"/>
                            <w:vAlign w:val="center"/>
                          </w:tcPr>
                          <w:p w14:paraId="046158DD">
                            <w:pPr>
                              <w:pStyle w:val="31"/>
                              <w:spacing w:line="277" w:lineRule="atLeast"/>
                              <w:textAlignment w:val="center"/>
                              <w:rPr>
                                <w:color w:val="000000"/>
                                <w:sz w:val="21"/>
                              </w:rPr>
                            </w:pPr>
                            <w:r>
                              <w:rPr>
                                <w:color w:val="000000"/>
                                <w:sz w:val="21"/>
                              </w:rPr>
                              <w:t>神木县顺兴化工有限责任公司</w:t>
                            </w:r>
                          </w:p>
                        </w:tc>
                        <w:tc>
                          <w:tcPr>
                            <w:tcW w:w="793" w:type="dxa"/>
                            <w:tcBorders>
                              <w:bottom w:val="single" w:color="000000" w:sz="4" w:space="0"/>
                              <w:right w:val="single" w:color="000000" w:sz="4" w:space="0"/>
                            </w:tcBorders>
                            <w:noWrap w:val="0"/>
                            <w:vAlign w:val="center"/>
                          </w:tcPr>
                          <w:p w14:paraId="34B66D12">
                            <w:pPr>
                              <w:pStyle w:val="31"/>
                              <w:spacing w:line="277" w:lineRule="atLeast"/>
                              <w:jc w:val="center"/>
                              <w:textAlignment w:val="center"/>
                              <w:rPr>
                                <w:color w:val="000000"/>
                                <w:sz w:val="21"/>
                              </w:rPr>
                            </w:pPr>
                            <w:r>
                              <w:rPr>
                                <w:color w:val="000000"/>
                                <w:sz w:val="21"/>
                              </w:rPr>
                              <w:t>刘涛</w:t>
                            </w:r>
                          </w:p>
                        </w:tc>
                        <w:tc>
                          <w:tcPr>
                            <w:tcW w:w="1604" w:type="dxa"/>
                            <w:tcBorders>
                              <w:bottom w:val="single" w:color="000000" w:sz="4" w:space="0"/>
                              <w:right w:val="single" w:color="000000" w:sz="4" w:space="0"/>
                            </w:tcBorders>
                            <w:noWrap w:val="0"/>
                            <w:vAlign w:val="center"/>
                          </w:tcPr>
                          <w:p w14:paraId="1890E450">
                            <w:pPr>
                              <w:pStyle w:val="31"/>
                              <w:spacing w:line="277" w:lineRule="atLeast"/>
                              <w:textAlignment w:val="center"/>
                              <w:rPr>
                                <w:color w:val="000000"/>
                                <w:sz w:val="21"/>
                              </w:rPr>
                            </w:pPr>
                            <w:r>
                              <w:rPr>
                                <w:color w:val="000000"/>
                                <w:sz w:val="21"/>
                              </w:rPr>
                              <w:t>陕西省榆林市</w:t>
                            </w:r>
                          </w:p>
                          <w:p w14:paraId="541821CC">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08DAE3B8">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0D091A7E">
                            <w:pPr>
                              <w:pStyle w:val="31"/>
                              <w:spacing w:line="277" w:lineRule="atLeast"/>
                              <w:jc w:val="center"/>
                              <w:textAlignment w:val="center"/>
                              <w:rPr>
                                <w:color w:val="000000"/>
                                <w:sz w:val="21"/>
                              </w:rPr>
                            </w:pPr>
                            <w:r>
                              <w:rPr>
                                <w:color w:val="000000"/>
                                <w:sz w:val="21"/>
                              </w:rPr>
                              <w:t>0912-8463886</w:t>
                            </w:r>
                          </w:p>
                        </w:tc>
                        <w:tc>
                          <w:tcPr>
                            <w:tcW w:w="1014" w:type="dxa"/>
                            <w:tcBorders>
                              <w:bottom w:val="single" w:color="000000" w:sz="4" w:space="0"/>
                            </w:tcBorders>
                            <w:noWrap w:val="0"/>
                            <w:vAlign w:val="center"/>
                          </w:tcPr>
                          <w:p w14:paraId="267559C0">
                            <w:pPr>
                              <w:pStyle w:val="31"/>
                              <w:spacing w:line="277" w:lineRule="atLeast"/>
                              <w:jc w:val="center"/>
                              <w:textAlignment w:val="center"/>
                              <w:rPr>
                                <w:color w:val="000000"/>
                                <w:sz w:val="21"/>
                              </w:rPr>
                            </w:pPr>
                            <w:r>
                              <w:rPr>
                                <w:color w:val="000000"/>
                                <w:sz w:val="21"/>
                              </w:rPr>
                              <w:t>2010.9.9</w:t>
                            </w:r>
                          </w:p>
                        </w:tc>
                      </w:tr>
                      <w:tr w14:paraId="16373B8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6FFBA653">
                            <w:pPr>
                              <w:pStyle w:val="31"/>
                              <w:spacing w:line="277" w:lineRule="atLeast"/>
                              <w:jc w:val="center"/>
                              <w:textAlignment w:val="center"/>
                              <w:rPr>
                                <w:color w:val="000000"/>
                                <w:sz w:val="21"/>
                              </w:rPr>
                            </w:pPr>
                            <w:r>
                              <w:rPr>
                                <w:color w:val="000000"/>
                                <w:sz w:val="21"/>
                              </w:rPr>
                              <w:t>5</w:t>
                            </w:r>
                          </w:p>
                        </w:tc>
                        <w:tc>
                          <w:tcPr>
                            <w:tcW w:w="2568" w:type="dxa"/>
                            <w:tcBorders>
                              <w:bottom w:val="single" w:color="000000" w:sz="4" w:space="0"/>
                              <w:right w:val="single" w:color="000000" w:sz="4" w:space="0"/>
                            </w:tcBorders>
                            <w:noWrap w:val="0"/>
                            <w:vAlign w:val="center"/>
                          </w:tcPr>
                          <w:p w14:paraId="533372F4">
                            <w:pPr>
                              <w:pStyle w:val="31"/>
                              <w:spacing w:line="277" w:lineRule="atLeast"/>
                              <w:textAlignment w:val="center"/>
                              <w:rPr>
                                <w:color w:val="000000"/>
                                <w:sz w:val="21"/>
                              </w:rPr>
                            </w:pPr>
                            <w:r>
                              <w:rPr>
                                <w:color w:val="000000"/>
                                <w:sz w:val="21"/>
                              </w:rPr>
                              <w:t>神木县白云化工有限责任公司</w:t>
                            </w:r>
                          </w:p>
                        </w:tc>
                        <w:tc>
                          <w:tcPr>
                            <w:tcW w:w="793" w:type="dxa"/>
                            <w:tcBorders>
                              <w:bottom w:val="single" w:color="000000" w:sz="4" w:space="0"/>
                              <w:right w:val="single" w:color="000000" w:sz="4" w:space="0"/>
                            </w:tcBorders>
                            <w:noWrap w:val="0"/>
                            <w:vAlign w:val="center"/>
                          </w:tcPr>
                          <w:p w14:paraId="6F03146C">
                            <w:pPr>
                              <w:pStyle w:val="31"/>
                              <w:spacing w:line="277" w:lineRule="atLeast"/>
                              <w:jc w:val="center"/>
                              <w:textAlignment w:val="center"/>
                              <w:rPr>
                                <w:color w:val="000000"/>
                                <w:sz w:val="21"/>
                              </w:rPr>
                            </w:pPr>
                            <w:r>
                              <w:rPr>
                                <w:color w:val="000000"/>
                                <w:sz w:val="21"/>
                              </w:rPr>
                              <w:t>赵旺雄</w:t>
                            </w:r>
                          </w:p>
                        </w:tc>
                        <w:tc>
                          <w:tcPr>
                            <w:tcW w:w="1604" w:type="dxa"/>
                            <w:tcBorders>
                              <w:bottom w:val="single" w:color="000000" w:sz="4" w:space="0"/>
                              <w:right w:val="single" w:color="000000" w:sz="4" w:space="0"/>
                            </w:tcBorders>
                            <w:noWrap w:val="0"/>
                            <w:vAlign w:val="center"/>
                          </w:tcPr>
                          <w:p w14:paraId="12B0253D">
                            <w:pPr>
                              <w:pStyle w:val="31"/>
                              <w:spacing w:line="277" w:lineRule="atLeast"/>
                              <w:textAlignment w:val="center"/>
                              <w:rPr>
                                <w:color w:val="000000"/>
                                <w:sz w:val="21"/>
                              </w:rPr>
                            </w:pPr>
                            <w:r>
                              <w:rPr>
                                <w:color w:val="000000"/>
                                <w:sz w:val="21"/>
                              </w:rPr>
                              <w:t>陕西省榆林市</w:t>
                            </w:r>
                          </w:p>
                          <w:p w14:paraId="66F1CD9F">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6ADED788">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4ABBD033">
                            <w:pPr>
                              <w:pStyle w:val="31"/>
                              <w:spacing w:line="277" w:lineRule="atLeast"/>
                              <w:jc w:val="center"/>
                              <w:textAlignment w:val="center"/>
                              <w:rPr>
                                <w:color w:val="000000"/>
                                <w:sz w:val="21"/>
                              </w:rPr>
                            </w:pPr>
                            <w:r>
                              <w:rPr>
                                <w:color w:val="000000"/>
                                <w:sz w:val="21"/>
                              </w:rPr>
                              <w:t>13809129346</w:t>
                            </w:r>
                          </w:p>
                        </w:tc>
                        <w:tc>
                          <w:tcPr>
                            <w:tcW w:w="1014" w:type="dxa"/>
                            <w:tcBorders>
                              <w:bottom w:val="single" w:color="000000" w:sz="4" w:space="0"/>
                            </w:tcBorders>
                            <w:noWrap w:val="0"/>
                            <w:vAlign w:val="center"/>
                          </w:tcPr>
                          <w:p w14:paraId="04ED6FD9">
                            <w:pPr>
                              <w:pStyle w:val="31"/>
                              <w:spacing w:line="277" w:lineRule="atLeast"/>
                              <w:jc w:val="center"/>
                              <w:textAlignment w:val="center"/>
                              <w:rPr>
                                <w:color w:val="000000"/>
                                <w:sz w:val="21"/>
                              </w:rPr>
                            </w:pPr>
                            <w:r>
                              <w:rPr>
                                <w:color w:val="000000"/>
                                <w:sz w:val="21"/>
                              </w:rPr>
                              <w:t>2010.9.13</w:t>
                            </w:r>
                          </w:p>
                        </w:tc>
                      </w:tr>
                      <w:tr w14:paraId="2768639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0D3DF531">
                            <w:pPr>
                              <w:pStyle w:val="31"/>
                              <w:spacing w:line="277" w:lineRule="atLeast"/>
                              <w:jc w:val="center"/>
                              <w:textAlignment w:val="center"/>
                              <w:rPr>
                                <w:color w:val="000000"/>
                                <w:sz w:val="21"/>
                              </w:rPr>
                            </w:pPr>
                            <w:r>
                              <w:rPr>
                                <w:color w:val="000000"/>
                                <w:sz w:val="21"/>
                              </w:rPr>
                              <w:t>6</w:t>
                            </w:r>
                          </w:p>
                        </w:tc>
                        <w:tc>
                          <w:tcPr>
                            <w:tcW w:w="2568" w:type="dxa"/>
                            <w:tcBorders>
                              <w:bottom w:val="single" w:color="000000" w:sz="4" w:space="0"/>
                              <w:right w:val="single" w:color="000000" w:sz="4" w:space="0"/>
                            </w:tcBorders>
                            <w:noWrap w:val="0"/>
                            <w:vAlign w:val="center"/>
                          </w:tcPr>
                          <w:p w14:paraId="606C8106">
                            <w:pPr>
                              <w:pStyle w:val="31"/>
                              <w:spacing w:line="277" w:lineRule="atLeast"/>
                              <w:textAlignment w:val="center"/>
                              <w:rPr>
                                <w:color w:val="000000"/>
                                <w:sz w:val="21"/>
                              </w:rPr>
                            </w:pPr>
                            <w:r>
                              <w:rPr>
                                <w:color w:val="000000"/>
                                <w:sz w:val="21"/>
                              </w:rPr>
                              <w:t>神木县神宇煤电化有限公司</w:t>
                            </w:r>
                          </w:p>
                        </w:tc>
                        <w:tc>
                          <w:tcPr>
                            <w:tcW w:w="793" w:type="dxa"/>
                            <w:tcBorders>
                              <w:bottom w:val="single" w:color="000000" w:sz="4" w:space="0"/>
                              <w:right w:val="single" w:color="000000" w:sz="4" w:space="0"/>
                            </w:tcBorders>
                            <w:noWrap w:val="0"/>
                            <w:vAlign w:val="center"/>
                          </w:tcPr>
                          <w:p w14:paraId="52FDD2DE">
                            <w:pPr>
                              <w:pStyle w:val="31"/>
                              <w:spacing w:line="277" w:lineRule="atLeast"/>
                              <w:jc w:val="center"/>
                              <w:textAlignment w:val="center"/>
                              <w:rPr>
                                <w:color w:val="000000"/>
                                <w:sz w:val="21"/>
                              </w:rPr>
                            </w:pPr>
                            <w:r>
                              <w:rPr>
                                <w:color w:val="000000"/>
                                <w:sz w:val="21"/>
                              </w:rPr>
                              <w:t>王贵全</w:t>
                            </w:r>
                          </w:p>
                        </w:tc>
                        <w:tc>
                          <w:tcPr>
                            <w:tcW w:w="1604" w:type="dxa"/>
                            <w:tcBorders>
                              <w:bottom w:val="single" w:color="000000" w:sz="4" w:space="0"/>
                              <w:right w:val="single" w:color="000000" w:sz="4" w:space="0"/>
                            </w:tcBorders>
                            <w:noWrap w:val="0"/>
                            <w:vAlign w:val="center"/>
                          </w:tcPr>
                          <w:p w14:paraId="2F27F7E9">
                            <w:pPr>
                              <w:pStyle w:val="31"/>
                              <w:spacing w:line="277" w:lineRule="atLeast"/>
                              <w:textAlignment w:val="center"/>
                              <w:rPr>
                                <w:color w:val="000000"/>
                                <w:sz w:val="21"/>
                              </w:rPr>
                            </w:pPr>
                            <w:r>
                              <w:rPr>
                                <w:color w:val="000000"/>
                                <w:sz w:val="21"/>
                              </w:rPr>
                              <w:t>陕西省榆林市</w:t>
                            </w:r>
                          </w:p>
                          <w:p w14:paraId="55204694">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3511C135">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6BC3AA97">
                            <w:pPr>
                              <w:pStyle w:val="31"/>
                              <w:spacing w:line="277" w:lineRule="atLeast"/>
                              <w:jc w:val="center"/>
                              <w:textAlignment w:val="center"/>
                              <w:rPr>
                                <w:color w:val="000000"/>
                                <w:sz w:val="21"/>
                              </w:rPr>
                            </w:pPr>
                            <w:r>
                              <w:rPr>
                                <w:color w:val="000000"/>
                                <w:sz w:val="21"/>
                              </w:rPr>
                              <w:t>13991089418</w:t>
                            </w:r>
                          </w:p>
                        </w:tc>
                        <w:tc>
                          <w:tcPr>
                            <w:tcW w:w="1014" w:type="dxa"/>
                            <w:tcBorders>
                              <w:bottom w:val="single" w:color="000000" w:sz="4" w:space="0"/>
                            </w:tcBorders>
                            <w:noWrap w:val="0"/>
                            <w:vAlign w:val="center"/>
                          </w:tcPr>
                          <w:p w14:paraId="4D4911F4">
                            <w:pPr>
                              <w:pStyle w:val="31"/>
                              <w:spacing w:line="277" w:lineRule="atLeast"/>
                              <w:jc w:val="center"/>
                              <w:textAlignment w:val="center"/>
                              <w:rPr>
                                <w:color w:val="000000"/>
                                <w:sz w:val="21"/>
                              </w:rPr>
                            </w:pPr>
                            <w:r>
                              <w:rPr>
                                <w:color w:val="000000"/>
                                <w:sz w:val="21"/>
                              </w:rPr>
                              <w:t>2010.9.13</w:t>
                            </w:r>
                          </w:p>
                        </w:tc>
                      </w:tr>
                      <w:tr w14:paraId="2D59730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03961A22">
                            <w:pPr>
                              <w:pStyle w:val="31"/>
                              <w:spacing w:line="277" w:lineRule="atLeast"/>
                              <w:jc w:val="center"/>
                              <w:textAlignment w:val="center"/>
                              <w:rPr>
                                <w:color w:val="000000"/>
                                <w:sz w:val="21"/>
                              </w:rPr>
                            </w:pPr>
                            <w:r>
                              <w:rPr>
                                <w:color w:val="000000"/>
                                <w:sz w:val="21"/>
                              </w:rPr>
                              <w:t>7</w:t>
                            </w:r>
                          </w:p>
                        </w:tc>
                        <w:tc>
                          <w:tcPr>
                            <w:tcW w:w="2568" w:type="dxa"/>
                            <w:tcBorders>
                              <w:bottom w:val="single" w:color="000000" w:sz="4" w:space="0"/>
                              <w:right w:val="single" w:color="000000" w:sz="4" w:space="0"/>
                            </w:tcBorders>
                            <w:noWrap w:val="0"/>
                            <w:vAlign w:val="center"/>
                          </w:tcPr>
                          <w:p w14:paraId="2A021BB0">
                            <w:pPr>
                              <w:pStyle w:val="31"/>
                              <w:spacing w:line="277" w:lineRule="atLeast"/>
                              <w:textAlignment w:val="center"/>
                              <w:rPr>
                                <w:color w:val="000000"/>
                                <w:sz w:val="21"/>
                              </w:rPr>
                            </w:pPr>
                            <w:r>
                              <w:rPr>
                                <w:color w:val="000000"/>
                                <w:sz w:val="21"/>
                              </w:rPr>
                              <w:t>神木县益源特种合金有限公司</w:t>
                            </w:r>
                          </w:p>
                        </w:tc>
                        <w:tc>
                          <w:tcPr>
                            <w:tcW w:w="793" w:type="dxa"/>
                            <w:tcBorders>
                              <w:bottom w:val="single" w:color="000000" w:sz="4" w:space="0"/>
                              <w:right w:val="single" w:color="000000" w:sz="4" w:space="0"/>
                            </w:tcBorders>
                            <w:noWrap w:val="0"/>
                            <w:vAlign w:val="center"/>
                          </w:tcPr>
                          <w:p w14:paraId="371E5F61">
                            <w:pPr>
                              <w:pStyle w:val="31"/>
                              <w:spacing w:line="277" w:lineRule="atLeast"/>
                              <w:jc w:val="center"/>
                              <w:textAlignment w:val="center"/>
                              <w:rPr>
                                <w:color w:val="000000"/>
                                <w:sz w:val="21"/>
                              </w:rPr>
                            </w:pPr>
                            <w:r>
                              <w:rPr>
                                <w:color w:val="000000"/>
                                <w:sz w:val="21"/>
                              </w:rPr>
                              <w:t>王应儒</w:t>
                            </w:r>
                          </w:p>
                        </w:tc>
                        <w:tc>
                          <w:tcPr>
                            <w:tcW w:w="1604" w:type="dxa"/>
                            <w:tcBorders>
                              <w:bottom w:val="single" w:color="000000" w:sz="4" w:space="0"/>
                              <w:right w:val="single" w:color="000000" w:sz="4" w:space="0"/>
                            </w:tcBorders>
                            <w:noWrap w:val="0"/>
                            <w:vAlign w:val="center"/>
                          </w:tcPr>
                          <w:p w14:paraId="79AA4D7A">
                            <w:pPr>
                              <w:pStyle w:val="31"/>
                              <w:spacing w:line="277" w:lineRule="atLeast"/>
                              <w:textAlignment w:val="center"/>
                              <w:rPr>
                                <w:color w:val="000000"/>
                                <w:sz w:val="21"/>
                              </w:rPr>
                            </w:pPr>
                            <w:r>
                              <w:rPr>
                                <w:color w:val="000000"/>
                                <w:sz w:val="21"/>
                              </w:rPr>
                              <w:t>陕西省榆林市</w:t>
                            </w:r>
                          </w:p>
                          <w:p w14:paraId="34C37DB7">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22984872">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50AADDEB">
                            <w:pPr>
                              <w:pStyle w:val="31"/>
                              <w:spacing w:line="277" w:lineRule="atLeast"/>
                              <w:jc w:val="center"/>
                              <w:textAlignment w:val="center"/>
                              <w:rPr>
                                <w:color w:val="000000"/>
                                <w:sz w:val="21"/>
                              </w:rPr>
                            </w:pPr>
                            <w:r>
                              <w:rPr>
                                <w:color w:val="000000"/>
                                <w:sz w:val="21"/>
                              </w:rPr>
                              <w:t>13335320880</w:t>
                            </w:r>
                          </w:p>
                        </w:tc>
                        <w:tc>
                          <w:tcPr>
                            <w:tcW w:w="1014" w:type="dxa"/>
                            <w:tcBorders>
                              <w:bottom w:val="single" w:color="000000" w:sz="4" w:space="0"/>
                            </w:tcBorders>
                            <w:noWrap w:val="0"/>
                            <w:vAlign w:val="center"/>
                          </w:tcPr>
                          <w:p w14:paraId="57B92288">
                            <w:pPr>
                              <w:pStyle w:val="31"/>
                              <w:spacing w:line="277" w:lineRule="atLeast"/>
                              <w:jc w:val="center"/>
                              <w:textAlignment w:val="center"/>
                              <w:rPr>
                                <w:color w:val="000000"/>
                                <w:sz w:val="21"/>
                              </w:rPr>
                            </w:pPr>
                            <w:r>
                              <w:rPr>
                                <w:color w:val="000000"/>
                                <w:sz w:val="21"/>
                              </w:rPr>
                              <w:t>2010.9.13</w:t>
                            </w:r>
                          </w:p>
                        </w:tc>
                      </w:tr>
                      <w:tr w14:paraId="4F31F31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6A164EF8">
                            <w:pPr>
                              <w:pStyle w:val="31"/>
                              <w:spacing w:line="277" w:lineRule="atLeast"/>
                              <w:jc w:val="center"/>
                              <w:textAlignment w:val="center"/>
                              <w:rPr>
                                <w:color w:val="000000"/>
                                <w:sz w:val="21"/>
                              </w:rPr>
                            </w:pPr>
                            <w:r>
                              <w:rPr>
                                <w:color w:val="000000"/>
                                <w:sz w:val="21"/>
                              </w:rPr>
                              <w:t>8</w:t>
                            </w:r>
                          </w:p>
                        </w:tc>
                        <w:tc>
                          <w:tcPr>
                            <w:tcW w:w="2568" w:type="dxa"/>
                            <w:tcBorders>
                              <w:bottom w:val="single" w:color="000000" w:sz="4" w:space="0"/>
                              <w:right w:val="single" w:color="000000" w:sz="4" w:space="0"/>
                            </w:tcBorders>
                            <w:noWrap w:val="0"/>
                            <w:vAlign w:val="center"/>
                          </w:tcPr>
                          <w:p w14:paraId="7015A51F">
                            <w:pPr>
                              <w:pStyle w:val="31"/>
                              <w:spacing w:line="277" w:lineRule="atLeast"/>
                              <w:textAlignment w:val="center"/>
                              <w:rPr>
                                <w:color w:val="000000"/>
                                <w:sz w:val="21"/>
                              </w:rPr>
                            </w:pPr>
                            <w:r>
                              <w:rPr>
                                <w:color w:val="000000"/>
                                <w:sz w:val="21"/>
                              </w:rPr>
                              <w:t>神木县瑞峰化工有限责任公司</w:t>
                            </w:r>
                          </w:p>
                        </w:tc>
                        <w:tc>
                          <w:tcPr>
                            <w:tcW w:w="793" w:type="dxa"/>
                            <w:tcBorders>
                              <w:bottom w:val="single" w:color="000000" w:sz="4" w:space="0"/>
                              <w:right w:val="single" w:color="000000" w:sz="4" w:space="0"/>
                            </w:tcBorders>
                            <w:noWrap w:val="0"/>
                            <w:vAlign w:val="center"/>
                          </w:tcPr>
                          <w:p w14:paraId="3A383DEF">
                            <w:pPr>
                              <w:pStyle w:val="31"/>
                              <w:spacing w:line="277" w:lineRule="atLeast"/>
                              <w:jc w:val="center"/>
                              <w:textAlignment w:val="center"/>
                              <w:rPr>
                                <w:color w:val="000000"/>
                                <w:sz w:val="21"/>
                              </w:rPr>
                            </w:pPr>
                            <w:r>
                              <w:rPr>
                                <w:color w:val="000000"/>
                                <w:sz w:val="21"/>
                              </w:rPr>
                              <w:t>孙宽</w:t>
                            </w:r>
                          </w:p>
                        </w:tc>
                        <w:tc>
                          <w:tcPr>
                            <w:tcW w:w="1604" w:type="dxa"/>
                            <w:tcBorders>
                              <w:bottom w:val="single" w:color="000000" w:sz="4" w:space="0"/>
                              <w:right w:val="single" w:color="000000" w:sz="4" w:space="0"/>
                            </w:tcBorders>
                            <w:noWrap w:val="0"/>
                            <w:vAlign w:val="center"/>
                          </w:tcPr>
                          <w:p w14:paraId="6B3BB1CB">
                            <w:pPr>
                              <w:pStyle w:val="31"/>
                              <w:spacing w:line="277" w:lineRule="atLeast"/>
                              <w:textAlignment w:val="center"/>
                              <w:rPr>
                                <w:color w:val="000000"/>
                                <w:sz w:val="21"/>
                              </w:rPr>
                            </w:pPr>
                            <w:r>
                              <w:rPr>
                                <w:color w:val="000000"/>
                                <w:sz w:val="21"/>
                              </w:rPr>
                              <w:t>陕西省榆林市</w:t>
                            </w:r>
                          </w:p>
                          <w:p w14:paraId="4E14741F">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61BBFBA7">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0A6B8957">
                            <w:pPr>
                              <w:pStyle w:val="31"/>
                              <w:spacing w:line="277" w:lineRule="atLeast"/>
                              <w:jc w:val="center"/>
                              <w:textAlignment w:val="center"/>
                              <w:rPr>
                                <w:color w:val="000000"/>
                                <w:sz w:val="21"/>
                              </w:rPr>
                            </w:pPr>
                            <w:r>
                              <w:rPr>
                                <w:color w:val="000000"/>
                                <w:sz w:val="21"/>
                              </w:rPr>
                              <w:t>13389128698</w:t>
                            </w:r>
                          </w:p>
                        </w:tc>
                        <w:tc>
                          <w:tcPr>
                            <w:tcW w:w="1014" w:type="dxa"/>
                            <w:tcBorders>
                              <w:bottom w:val="single" w:color="000000" w:sz="4" w:space="0"/>
                            </w:tcBorders>
                            <w:noWrap w:val="0"/>
                            <w:vAlign w:val="center"/>
                          </w:tcPr>
                          <w:p w14:paraId="3D3102EF">
                            <w:pPr>
                              <w:pStyle w:val="31"/>
                              <w:spacing w:line="277" w:lineRule="atLeast"/>
                              <w:jc w:val="center"/>
                              <w:textAlignment w:val="center"/>
                              <w:rPr>
                                <w:color w:val="000000"/>
                                <w:sz w:val="21"/>
                              </w:rPr>
                            </w:pPr>
                            <w:r>
                              <w:rPr>
                                <w:color w:val="000000"/>
                                <w:sz w:val="21"/>
                              </w:rPr>
                              <w:t>2010.9.13</w:t>
                            </w:r>
                          </w:p>
                        </w:tc>
                      </w:tr>
                      <w:tr w14:paraId="5328E4C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3AF862F1">
                            <w:pPr>
                              <w:pStyle w:val="31"/>
                              <w:spacing w:line="277" w:lineRule="atLeast"/>
                              <w:jc w:val="center"/>
                              <w:textAlignment w:val="center"/>
                              <w:rPr>
                                <w:color w:val="000000"/>
                                <w:sz w:val="21"/>
                              </w:rPr>
                            </w:pPr>
                            <w:r>
                              <w:rPr>
                                <w:color w:val="000000"/>
                                <w:sz w:val="21"/>
                              </w:rPr>
                              <w:t>9</w:t>
                            </w:r>
                          </w:p>
                        </w:tc>
                        <w:tc>
                          <w:tcPr>
                            <w:tcW w:w="2568" w:type="dxa"/>
                            <w:tcBorders>
                              <w:bottom w:val="single" w:color="000000" w:sz="4" w:space="0"/>
                              <w:right w:val="single" w:color="000000" w:sz="4" w:space="0"/>
                            </w:tcBorders>
                            <w:noWrap w:val="0"/>
                            <w:vAlign w:val="center"/>
                          </w:tcPr>
                          <w:p w14:paraId="6BDE277E">
                            <w:pPr>
                              <w:pStyle w:val="31"/>
                              <w:spacing w:line="277" w:lineRule="atLeast"/>
                              <w:textAlignment w:val="center"/>
                              <w:rPr>
                                <w:color w:val="000000"/>
                                <w:sz w:val="21"/>
                              </w:rPr>
                            </w:pPr>
                            <w:r>
                              <w:rPr>
                                <w:color w:val="000000"/>
                                <w:sz w:val="21"/>
                              </w:rPr>
                              <w:t>神木县北孚化工有限责任公司</w:t>
                            </w:r>
                          </w:p>
                        </w:tc>
                        <w:tc>
                          <w:tcPr>
                            <w:tcW w:w="793" w:type="dxa"/>
                            <w:tcBorders>
                              <w:bottom w:val="single" w:color="000000" w:sz="4" w:space="0"/>
                              <w:right w:val="single" w:color="000000" w:sz="4" w:space="0"/>
                            </w:tcBorders>
                            <w:noWrap w:val="0"/>
                            <w:vAlign w:val="center"/>
                          </w:tcPr>
                          <w:p w14:paraId="2F21E1EA">
                            <w:pPr>
                              <w:pStyle w:val="31"/>
                              <w:spacing w:line="277" w:lineRule="atLeast"/>
                              <w:jc w:val="center"/>
                              <w:textAlignment w:val="center"/>
                              <w:rPr>
                                <w:color w:val="000000"/>
                                <w:sz w:val="21"/>
                              </w:rPr>
                            </w:pPr>
                            <w:r>
                              <w:rPr>
                                <w:color w:val="000000"/>
                                <w:sz w:val="21"/>
                              </w:rPr>
                              <w:t>左玉生</w:t>
                            </w:r>
                          </w:p>
                        </w:tc>
                        <w:tc>
                          <w:tcPr>
                            <w:tcW w:w="1604" w:type="dxa"/>
                            <w:tcBorders>
                              <w:bottom w:val="single" w:color="000000" w:sz="4" w:space="0"/>
                              <w:right w:val="single" w:color="000000" w:sz="4" w:space="0"/>
                            </w:tcBorders>
                            <w:noWrap w:val="0"/>
                            <w:vAlign w:val="center"/>
                          </w:tcPr>
                          <w:p w14:paraId="45825220">
                            <w:pPr>
                              <w:pStyle w:val="31"/>
                              <w:spacing w:line="277" w:lineRule="atLeast"/>
                              <w:textAlignment w:val="center"/>
                              <w:rPr>
                                <w:color w:val="000000"/>
                                <w:sz w:val="21"/>
                              </w:rPr>
                            </w:pPr>
                            <w:r>
                              <w:rPr>
                                <w:color w:val="000000"/>
                                <w:sz w:val="21"/>
                              </w:rPr>
                              <w:t>陕西省榆林市</w:t>
                            </w:r>
                          </w:p>
                          <w:p w14:paraId="2EE45694">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6798BCE4">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6FDE1533">
                            <w:pPr>
                              <w:pStyle w:val="31"/>
                              <w:spacing w:line="277" w:lineRule="atLeast"/>
                              <w:jc w:val="center"/>
                              <w:textAlignment w:val="center"/>
                              <w:rPr>
                                <w:color w:val="000000"/>
                                <w:sz w:val="21"/>
                              </w:rPr>
                            </w:pPr>
                            <w:r>
                              <w:rPr>
                                <w:color w:val="000000"/>
                                <w:sz w:val="21"/>
                              </w:rPr>
                              <w:t>0912-8417189</w:t>
                            </w:r>
                          </w:p>
                        </w:tc>
                        <w:tc>
                          <w:tcPr>
                            <w:tcW w:w="1014" w:type="dxa"/>
                            <w:tcBorders>
                              <w:bottom w:val="single" w:color="000000" w:sz="4" w:space="0"/>
                            </w:tcBorders>
                            <w:noWrap w:val="0"/>
                            <w:vAlign w:val="center"/>
                          </w:tcPr>
                          <w:p w14:paraId="25D304A8">
                            <w:pPr>
                              <w:pStyle w:val="31"/>
                              <w:spacing w:line="277" w:lineRule="atLeast"/>
                              <w:jc w:val="center"/>
                              <w:textAlignment w:val="center"/>
                              <w:rPr>
                                <w:color w:val="000000"/>
                                <w:sz w:val="21"/>
                              </w:rPr>
                            </w:pPr>
                            <w:r>
                              <w:rPr>
                                <w:color w:val="000000"/>
                                <w:sz w:val="21"/>
                              </w:rPr>
                              <w:t>2010.9.13</w:t>
                            </w:r>
                          </w:p>
                        </w:tc>
                      </w:tr>
                      <w:tr w14:paraId="7D1AE7D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212F9CDA">
                            <w:pPr>
                              <w:pStyle w:val="31"/>
                              <w:spacing w:line="277" w:lineRule="atLeast"/>
                              <w:jc w:val="center"/>
                              <w:textAlignment w:val="center"/>
                              <w:rPr>
                                <w:color w:val="000000"/>
                                <w:sz w:val="21"/>
                              </w:rPr>
                            </w:pPr>
                            <w:r>
                              <w:rPr>
                                <w:color w:val="000000"/>
                                <w:sz w:val="21"/>
                              </w:rPr>
                              <w:t>10</w:t>
                            </w:r>
                          </w:p>
                        </w:tc>
                        <w:tc>
                          <w:tcPr>
                            <w:tcW w:w="2568" w:type="dxa"/>
                            <w:tcBorders>
                              <w:bottom w:val="single" w:color="000000" w:sz="4" w:space="0"/>
                              <w:right w:val="single" w:color="000000" w:sz="4" w:space="0"/>
                            </w:tcBorders>
                            <w:noWrap w:val="0"/>
                            <w:vAlign w:val="center"/>
                          </w:tcPr>
                          <w:p w14:paraId="4AE739AE">
                            <w:pPr>
                              <w:pStyle w:val="31"/>
                              <w:spacing w:line="277" w:lineRule="atLeast"/>
                              <w:textAlignment w:val="center"/>
                              <w:rPr>
                                <w:color w:val="000000"/>
                                <w:sz w:val="21"/>
                              </w:rPr>
                            </w:pPr>
                            <w:r>
                              <w:rPr>
                                <w:color w:val="000000"/>
                                <w:sz w:val="21"/>
                              </w:rPr>
                              <w:t>神木县伏尔特电化有限公司</w:t>
                            </w:r>
                          </w:p>
                        </w:tc>
                        <w:tc>
                          <w:tcPr>
                            <w:tcW w:w="793" w:type="dxa"/>
                            <w:tcBorders>
                              <w:bottom w:val="single" w:color="000000" w:sz="4" w:space="0"/>
                              <w:right w:val="single" w:color="000000" w:sz="4" w:space="0"/>
                            </w:tcBorders>
                            <w:noWrap w:val="0"/>
                            <w:vAlign w:val="center"/>
                          </w:tcPr>
                          <w:p w14:paraId="2AA92B81">
                            <w:pPr>
                              <w:pStyle w:val="31"/>
                              <w:spacing w:line="277" w:lineRule="atLeast"/>
                              <w:jc w:val="center"/>
                              <w:textAlignment w:val="center"/>
                              <w:rPr>
                                <w:color w:val="000000"/>
                                <w:sz w:val="21"/>
                              </w:rPr>
                            </w:pPr>
                            <w:r>
                              <w:rPr>
                                <w:color w:val="000000"/>
                                <w:sz w:val="21"/>
                              </w:rPr>
                              <w:t>林松权</w:t>
                            </w:r>
                          </w:p>
                        </w:tc>
                        <w:tc>
                          <w:tcPr>
                            <w:tcW w:w="1604" w:type="dxa"/>
                            <w:tcBorders>
                              <w:bottom w:val="single" w:color="000000" w:sz="4" w:space="0"/>
                              <w:right w:val="single" w:color="000000" w:sz="4" w:space="0"/>
                            </w:tcBorders>
                            <w:noWrap w:val="0"/>
                            <w:vAlign w:val="center"/>
                          </w:tcPr>
                          <w:p w14:paraId="1E3128EE">
                            <w:pPr>
                              <w:pStyle w:val="31"/>
                              <w:spacing w:line="277" w:lineRule="atLeast"/>
                              <w:textAlignment w:val="center"/>
                              <w:rPr>
                                <w:color w:val="000000"/>
                                <w:sz w:val="21"/>
                              </w:rPr>
                            </w:pPr>
                            <w:r>
                              <w:rPr>
                                <w:color w:val="000000"/>
                                <w:sz w:val="21"/>
                              </w:rPr>
                              <w:t>陕西省榆林市</w:t>
                            </w:r>
                          </w:p>
                          <w:p w14:paraId="7E972996">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11367275">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6072B6A2">
                            <w:pPr>
                              <w:pStyle w:val="31"/>
                              <w:spacing w:line="277" w:lineRule="atLeast"/>
                              <w:jc w:val="center"/>
                              <w:textAlignment w:val="center"/>
                              <w:rPr>
                                <w:color w:val="000000"/>
                                <w:sz w:val="21"/>
                              </w:rPr>
                            </w:pPr>
                            <w:r>
                              <w:rPr>
                                <w:color w:val="000000"/>
                                <w:sz w:val="21"/>
                              </w:rPr>
                              <w:t>13891242866</w:t>
                            </w:r>
                          </w:p>
                        </w:tc>
                        <w:tc>
                          <w:tcPr>
                            <w:tcW w:w="1014" w:type="dxa"/>
                            <w:tcBorders>
                              <w:bottom w:val="single" w:color="000000" w:sz="4" w:space="0"/>
                            </w:tcBorders>
                            <w:noWrap w:val="0"/>
                            <w:vAlign w:val="center"/>
                          </w:tcPr>
                          <w:p w14:paraId="7F93923A">
                            <w:pPr>
                              <w:pStyle w:val="31"/>
                              <w:spacing w:line="277" w:lineRule="atLeast"/>
                              <w:jc w:val="center"/>
                              <w:textAlignment w:val="center"/>
                              <w:rPr>
                                <w:color w:val="000000"/>
                                <w:sz w:val="21"/>
                              </w:rPr>
                            </w:pPr>
                            <w:r>
                              <w:rPr>
                                <w:color w:val="000000"/>
                                <w:sz w:val="21"/>
                              </w:rPr>
                              <w:t>2010.9.14</w:t>
                            </w:r>
                          </w:p>
                        </w:tc>
                      </w:tr>
                      <w:tr w14:paraId="20ABB93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68FDDCCE">
                            <w:pPr>
                              <w:pStyle w:val="31"/>
                              <w:spacing w:line="277" w:lineRule="atLeast"/>
                              <w:jc w:val="center"/>
                              <w:textAlignment w:val="center"/>
                              <w:rPr>
                                <w:color w:val="000000"/>
                                <w:sz w:val="21"/>
                              </w:rPr>
                            </w:pPr>
                            <w:r>
                              <w:rPr>
                                <w:color w:val="000000"/>
                                <w:sz w:val="21"/>
                              </w:rPr>
                              <w:t>11</w:t>
                            </w:r>
                          </w:p>
                        </w:tc>
                        <w:tc>
                          <w:tcPr>
                            <w:tcW w:w="2568" w:type="dxa"/>
                            <w:tcBorders>
                              <w:bottom w:val="single" w:color="000000" w:sz="4" w:space="0"/>
                              <w:right w:val="single" w:color="000000" w:sz="4" w:space="0"/>
                            </w:tcBorders>
                            <w:noWrap w:val="0"/>
                            <w:vAlign w:val="center"/>
                          </w:tcPr>
                          <w:p w14:paraId="3B46BCF7">
                            <w:pPr>
                              <w:pStyle w:val="31"/>
                              <w:spacing w:line="277" w:lineRule="atLeast"/>
                              <w:textAlignment w:val="center"/>
                              <w:rPr>
                                <w:color w:val="000000"/>
                                <w:sz w:val="21"/>
                              </w:rPr>
                            </w:pPr>
                            <w:r>
                              <w:rPr>
                                <w:color w:val="000000"/>
                                <w:sz w:val="21"/>
                              </w:rPr>
                              <w:t>神木县正华化工有限责任公司</w:t>
                            </w:r>
                          </w:p>
                        </w:tc>
                        <w:tc>
                          <w:tcPr>
                            <w:tcW w:w="793" w:type="dxa"/>
                            <w:tcBorders>
                              <w:bottom w:val="single" w:color="000000" w:sz="4" w:space="0"/>
                              <w:right w:val="single" w:color="000000" w:sz="4" w:space="0"/>
                            </w:tcBorders>
                            <w:noWrap w:val="0"/>
                            <w:vAlign w:val="center"/>
                          </w:tcPr>
                          <w:p w14:paraId="0F3A67A1">
                            <w:pPr>
                              <w:pStyle w:val="31"/>
                              <w:spacing w:line="277" w:lineRule="atLeast"/>
                              <w:jc w:val="center"/>
                              <w:textAlignment w:val="center"/>
                              <w:rPr>
                                <w:color w:val="000000"/>
                                <w:sz w:val="21"/>
                              </w:rPr>
                            </w:pPr>
                            <w:r>
                              <w:rPr>
                                <w:color w:val="000000"/>
                                <w:sz w:val="21"/>
                              </w:rPr>
                              <w:t>张凯峰</w:t>
                            </w:r>
                          </w:p>
                        </w:tc>
                        <w:tc>
                          <w:tcPr>
                            <w:tcW w:w="1604" w:type="dxa"/>
                            <w:tcBorders>
                              <w:bottom w:val="single" w:color="000000" w:sz="4" w:space="0"/>
                              <w:right w:val="single" w:color="000000" w:sz="4" w:space="0"/>
                            </w:tcBorders>
                            <w:noWrap w:val="0"/>
                            <w:vAlign w:val="center"/>
                          </w:tcPr>
                          <w:p w14:paraId="13159003">
                            <w:pPr>
                              <w:pStyle w:val="31"/>
                              <w:spacing w:line="277" w:lineRule="atLeast"/>
                              <w:textAlignment w:val="center"/>
                              <w:rPr>
                                <w:color w:val="000000"/>
                                <w:sz w:val="21"/>
                              </w:rPr>
                            </w:pPr>
                            <w:r>
                              <w:rPr>
                                <w:color w:val="000000"/>
                                <w:sz w:val="21"/>
                              </w:rPr>
                              <w:t>陕西省榆林市</w:t>
                            </w:r>
                          </w:p>
                          <w:p w14:paraId="2406B148">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1CB3E72F">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7709FDB8">
                            <w:pPr>
                              <w:pStyle w:val="31"/>
                              <w:spacing w:line="277" w:lineRule="atLeast"/>
                              <w:jc w:val="center"/>
                              <w:textAlignment w:val="center"/>
                              <w:rPr>
                                <w:color w:val="000000"/>
                                <w:sz w:val="21"/>
                              </w:rPr>
                            </w:pPr>
                            <w:r>
                              <w:rPr>
                                <w:color w:val="000000"/>
                                <w:sz w:val="21"/>
                              </w:rPr>
                              <w:t>13659220078</w:t>
                            </w:r>
                          </w:p>
                        </w:tc>
                        <w:tc>
                          <w:tcPr>
                            <w:tcW w:w="1014" w:type="dxa"/>
                            <w:tcBorders>
                              <w:bottom w:val="single" w:color="000000" w:sz="4" w:space="0"/>
                            </w:tcBorders>
                            <w:noWrap w:val="0"/>
                            <w:vAlign w:val="center"/>
                          </w:tcPr>
                          <w:p w14:paraId="5ED6612F">
                            <w:pPr>
                              <w:pStyle w:val="31"/>
                              <w:spacing w:line="277" w:lineRule="atLeast"/>
                              <w:jc w:val="center"/>
                              <w:textAlignment w:val="center"/>
                              <w:rPr>
                                <w:color w:val="000000"/>
                                <w:sz w:val="21"/>
                              </w:rPr>
                            </w:pPr>
                            <w:r>
                              <w:rPr>
                                <w:color w:val="000000"/>
                                <w:sz w:val="21"/>
                              </w:rPr>
                              <w:t>2010.9.14</w:t>
                            </w:r>
                          </w:p>
                        </w:tc>
                      </w:tr>
                      <w:tr w14:paraId="4EF94F4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7F4D3131">
                            <w:pPr>
                              <w:pStyle w:val="31"/>
                              <w:spacing w:line="277" w:lineRule="atLeast"/>
                              <w:jc w:val="center"/>
                              <w:textAlignment w:val="center"/>
                              <w:rPr>
                                <w:color w:val="000000"/>
                                <w:sz w:val="21"/>
                              </w:rPr>
                            </w:pPr>
                            <w:r>
                              <w:rPr>
                                <w:color w:val="000000"/>
                                <w:sz w:val="21"/>
                              </w:rPr>
                              <w:t>12</w:t>
                            </w:r>
                          </w:p>
                        </w:tc>
                        <w:tc>
                          <w:tcPr>
                            <w:tcW w:w="2568" w:type="dxa"/>
                            <w:tcBorders>
                              <w:bottom w:val="single" w:color="000000" w:sz="4" w:space="0"/>
                              <w:right w:val="single" w:color="000000" w:sz="4" w:space="0"/>
                            </w:tcBorders>
                            <w:noWrap w:val="0"/>
                            <w:vAlign w:val="center"/>
                          </w:tcPr>
                          <w:p w14:paraId="686DAF9D">
                            <w:pPr>
                              <w:pStyle w:val="31"/>
                              <w:spacing w:line="277" w:lineRule="atLeast"/>
                              <w:textAlignment w:val="center"/>
                              <w:rPr>
                                <w:color w:val="000000"/>
                                <w:sz w:val="21"/>
                              </w:rPr>
                            </w:pPr>
                            <w:r>
                              <w:rPr>
                                <w:color w:val="000000"/>
                                <w:sz w:val="21"/>
                              </w:rPr>
                              <w:t>陕西玉林集团锦程电化有限公司</w:t>
                            </w:r>
                          </w:p>
                        </w:tc>
                        <w:tc>
                          <w:tcPr>
                            <w:tcW w:w="793" w:type="dxa"/>
                            <w:tcBorders>
                              <w:bottom w:val="single" w:color="000000" w:sz="4" w:space="0"/>
                              <w:right w:val="single" w:color="000000" w:sz="4" w:space="0"/>
                            </w:tcBorders>
                            <w:noWrap w:val="0"/>
                            <w:vAlign w:val="center"/>
                          </w:tcPr>
                          <w:p w14:paraId="79CE060A">
                            <w:pPr>
                              <w:pStyle w:val="31"/>
                              <w:spacing w:line="277" w:lineRule="atLeast"/>
                              <w:jc w:val="center"/>
                              <w:textAlignment w:val="center"/>
                              <w:rPr>
                                <w:color w:val="000000"/>
                                <w:sz w:val="21"/>
                              </w:rPr>
                            </w:pPr>
                            <w:r>
                              <w:rPr>
                                <w:color w:val="000000"/>
                                <w:sz w:val="21"/>
                              </w:rPr>
                              <w:t>高玉林</w:t>
                            </w:r>
                          </w:p>
                        </w:tc>
                        <w:tc>
                          <w:tcPr>
                            <w:tcW w:w="1604" w:type="dxa"/>
                            <w:tcBorders>
                              <w:bottom w:val="single" w:color="000000" w:sz="4" w:space="0"/>
                              <w:right w:val="single" w:color="000000" w:sz="4" w:space="0"/>
                            </w:tcBorders>
                            <w:noWrap w:val="0"/>
                            <w:vAlign w:val="center"/>
                          </w:tcPr>
                          <w:p w14:paraId="4F4EA984">
                            <w:pPr>
                              <w:pStyle w:val="31"/>
                              <w:spacing w:line="277" w:lineRule="atLeast"/>
                              <w:textAlignment w:val="center"/>
                              <w:rPr>
                                <w:color w:val="000000"/>
                                <w:sz w:val="21"/>
                              </w:rPr>
                            </w:pPr>
                            <w:r>
                              <w:rPr>
                                <w:color w:val="000000"/>
                                <w:sz w:val="21"/>
                              </w:rPr>
                              <w:t>陕西省榆林市</w:t>
                            </w:r>
                          </w:p>
                          <w:p w14:paraId="33C9446D">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2FF66918">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45733998">
                            <w:pPr>
                              <w:pStyle w:val="31"/>
                              <w:spacing w:line="277" w:lineRule="atLeast"/>
                              <w:jc w:val="center"/>
                              <w:textAlignment w:val="center"/>
                              <w:rPr>
                                <w:color w:val="000000"/>
                                <w:sz w:val="21"/>
                              </w:rPr>
                            </w:pPr>
                            <w:r>
                              <w:rPr>
                                <w:color w:val="000000"/>
                                <w:sz w:val="21"/>
                              </w:rPr>
                              <w:t>13892221750</w:t>
                            </w:r>
                          </w:p>
                        </w:tc>
                        <w:tc>
                          <w:tcPr>
                            <w:tcW w:w="1014" w:type="dxa"/>
                            <w:tcBorders>
                              <w:bottom w:val="single" w:color="000000" w:sz="4" w:space="0"/>
                            </w:tcBorders>
                            <w:noWrap w:val="0"/>
                            <w:vAlign w:val="center"/>
                          </w:tcPr>
                          <w:p w14:paraId="7F155F95">
                            <w:pPr>
                              <w:pStyle w:val="31"/>
                              <w:spacing w:line="277" w:lineRule="atLeast"/>
                              <w:jc w:val="center"/>
                              <w:textAlignment w:val="center"/>
                              <w:rPr>
                                <w:color w:val="000000"/>
                                <w:sz w:val="21"/>
                              </w:rPr>
                            </w:pPr>
                            <w:r>
                              <w:rPr>
                                <w:color w:val="000000"/>
                                <w:sz w:val="21"/>
                              </w:rPr>
                              <w:t>2010.9.14</w:t>
                            </w:r>
                          </w:p>
                        </w:tc>
                      </w:tr>
                      <w:tr w14:paraId="4E23487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bottom w:val="single" w:color="000000" w:sz="4" w:space="0"/>
                              <w:right w:val="single" w:color="000000" w:sz="4" w:space="0"/>
                            </w:tcBorders>
                            <w:noWrap w:val="0"/>
                            <w:vAlign w:val="center"/>
                          </w:tcPr>
                          <w:p w14:paraId="74FBDF44">
                            <w:pPr>
                              <w:pStyle w:val="31"/>
                              <w:spacing w:line="277" w:lineRule="atLeast"/>
                              <w:jc w:val="center"/>
                              <w:textAlignment w:val="center"/>
                              <w:rPr>
                                <w:color w:val="000000"/>
                                <w:sz w:val="21"/>
                              </w:rPr>
                            </w:pPr>
                            <w:r>
                              <w:rPr>
                                <w:color w:val="000000"/>
                                <w:sz w:val="21"/>
                              </w:rPr>
                              <w:t>13</w:t>
                            </w:r>
                          </w:p>
                        </w:tc>
                        <w:tc>
                          <w:tcPr>
                            <w:tcW w:w="2568" w:type="dxa"/>
                            <w:tcBorders>
                              <w:bottom w:val="single" w:color="000000" w:sz="4" w:space="0"/>
                              <w:right w:val="single" w:color="000000" w:sz="4" w:space="0"/>
                            </w:tcBorders>
                            <w:noWrap w:val="0"/>
                            <w:vAlign w:val="center"/>
                          </w:tcPr>
                          <w:p w14:paraId="548FCE98">
                            <w:pPr>
                              <w:pStyle w:val="31"/>
                              <w:spacing w:line="277" w:lineRule="atLeast"/>
                              <w:textAlignment w:val="center"/>
                              <w:rPr>
                                <w:color w:val="000000"/>
                                <w:sz w:val="21"/>
                              </w:rPr>
                            </w:pPr>
                            <w:r>
                              <w:rPr>
                                <w:color w:val="000000"/>
                                <w:sz w:val="21"/>
                              </w:rPr>
                              <w:t>神府经济开发区泰星电化有限公司</w:t>
                            </w:r>
                          </w:p>
                        </w:tc>
                        <w:tc>
                          <w:tcPr>
                            <w:tcW w:w="793" w:type="dxa"/>
                            <w:tcBorders>
                              <w:bottom w:val="single" w:color="000000" w:sz="4" w:space="0"/>
                              <w:right w:val="single" w:color="000000" w:sz="4" w:space="0"/>
                            </w:tcBorders>
                            <w:noWrap w:val="0"/>
                            <w:vAlign w:val="center"/>
                          </w:tcPr>
                          <w:p w14:paraId="3230932C">
                            <w:pPr>
                              <w:pStyle w:val="31"/>
                              <w:spacing w:line="277" w:lineRule="atLeast"/>
                              <w:jc w:val="center"/>
                              <w:textAlignment w:val="center"/>
                              <w:rPr>
                                <w:color w:val="000000"/>
                                <w:sz w:val="21"/>
                              </w:rPr>
                            </w:pPr>
                            <w:r>
                              <w:rPr>
                                <w:color w:val="000000"/>
                                <w:sz w:val="21"/>
                              </w:rPr>
                              <w:t>王文明</w:t>
                            </w:r>
                          </w:p>
                        </w:tc>
                        <w:tc>
                          <w:tcPr>
                            <w:tcW w:w="1604" w:type="dxa"/>
                            <w:tcBorders>
                              <w:bottom w:val="single" w:color="000000" w:sz="4" w:space="0"/>
                              <w:right w:val="single" w:color="000000" w:sz="4" w:space="0"/>
                            </w:tcBorders>
                            <w:noWrap w:val="0"/>
                            <w:vAlign w:val="center"/>
                          </w:tcPr>
                          <w:p w14:paraId="74BE4E23">
                            <w:pPr>
                              <w:pStyle w:val="31"/>
                              <w:spacing w:line="277" w:lineRule="atLeast"/>
                              <w:textAlignment w:val="center"/>
                              <w:rPr>
                                <w:color w:val="000000"/>
                                <w:sz w:val="21"/>
                              </w:rPr>
                            </w:pPr>
                            <w:r>
                              <w:rPr>
                                <w:color w:val="000000"/>
                                <w:sz w:val="21"/>
                              </w:rPr>
                              <w:t>陕西省榆林市</w:t>
                            </w:r>
                          </w:p>
                          <w:p w14:paraId="0EEBB759">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7DAE2AC2">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57A68FF8">
                            <w:pPr>
                              <w:pStyle w:val="31"/>
                              <w:spacing w:line="277" w:lineRule="atLeast"/>
                              <w:jc w:val="center"/>
                              <w:textAlignment w:val="center"/>
                              <w:rPr>
                                <w:color w:val="000000"/>
                                <w:sz w:val="21"/>
                              </w:rPr>
                            </w:pPr>
                            <w:r>
                              <w:rPr>
                                <w:color w:val="000000"/>
                                <w:sz w:val="21"/>
                              </w:rPr>
                              <w:t>13571211257</w:t>
                            </w:r>
                          </w:p>
                        </w:tc>
                        <w:tc>
                          <w:tcPr>
                            <w:tcW w:w="1014" w:type="dxa"/>
                            <w:tcBorders>
                              <w:bottom w:val="single" w:color="000000" w:sz="4" w:space="0"/>
                            </w:tcBorders>
                            <w:noWrap w:val="0"/>
                            <w:vAlign w:val="center"/>
                          </w:tcPr>
                          <w:p w14:paraId="5D2BB180">
                            <w:pPr>
                              <w:pStyle w:val="31"/>
                              <w:spacing w:line="277" w:lineRule="atLeast"/>
                              <w:jc w:val="center"/>
                              <w:textAlignment w:val="center"/>
                              <w:rPr>
                                <w:color w:val="000000"/>
                                <w:sz w:val="21"/>
                              </w:rPr>
                            </w:pPr>
                            <w:r>
                              <w:rPr>
                                <w:color w:val="000000"/>
                                <w:sz w:val="21"/>
                              </w:rPr>
                              <w:t>2010.9.14</w:t>
                            </w:r>
                          </w:p>
                        </w:tc>
                      </w:tr>
                      <w:tr w14:paraId="049D2AD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702" w:hRule="exact"/>
                        </w:trPr>
                        <w:tc>
                          <w:tcPr>
                            <w:tcW w:w="578" w:type="dxa"/>
                            <w:tcBorders>
                              <w:bottom w:val="single" w:color="000000" w:sz="4" w:space="0"/>
                              <w:right w:val="single" w:color="000000" w:sz="4" w:space="0"/>
                            </w:tcBorders>
                            <w:noWrap w:val="0"/>
                            <w:vAlign w:val="center"/>
                          </w:tcPr>
                          <w:p w14:paraId="5308C6E6">
                            <w:pPr>
                              <w:pStyle w:val="31"/>
                              <w:spacing w:line="277" w:lineRule="atLeast"/>
                              <w:jc w:val="center"/>
                              <w:textAlignment w:val="center"/>
                              <w:rPr>
                                <w:color w:val="000000"/>
                                <w:sz w:val="21"/>
                              </w:rPr>
                            </w:pPr>
                            <w:r>
                              <w:rPr>
                                <w:color w:val="000000"/>
                                <w:sz w:val="21"/>
                              </w:rPr>
                              <w:t>14</w:t>
                            </w:r>
                          </w:p>
                        </w:tc>
                        <w:tc>
                          <w:tcPr>
                            <w:tcW w:w="2568" w:type="dxa"/>
                            <w:tcBorders>
                              <w:bottom w:val="single" w:color="000000" w:sz="4" w:space="0"/>
                              <w:right w:val="single" w:color="000000" w:sz="4" w:space="0"/>
                            </w:tcBorders>
                            <w:noWrap w:val="0"/>
                            <w:vAlign w:val="center"/>
                          </w:tcPr>
                          <w:p w14:paraId="11F146BB">
                            <w:pPr>
                              <w:pStyle w:val="31"/>
                              <w:spacing w:line="277" w:lineRule="atLeast"/>
                              <w:textAlignment w:val="center"/>
                              <w:rPr>
                                <w:color w:val="000000"/>
                                <w:sz w:val="21"/>
                              </w:rPr>
                            </w:pPr>
                            <w:r>
                              <w:rPr>
                                <w:color w:val="000000"/>
                                <w:sz w:val="21"/>
                              </w:rPr>
                              <w:t>神木县鑫祥电化有限责任公司</w:t>
                            </w:r>
                          </w:p>
                        </w:tc>
                        <w:tc>
                          <w:tcPr>
                            <w:tcW w:w="793" w:type="dxa"/>
                            <w:tcBorders>
                              <w:bottom w:val="single" w:color="000000" w:sz="4" w:space="0"/>
                              <w:right w:val="single" w:color="000000" w:sz="4" w:space="0"/>
                            </w:tcBorders>
                            <w:noWrap w:val="0"/>
                            <w:vAlign w:val="center"/>
                          </w:tcPr>
                          <w:p w14:paraId="65E6AC4A">
                            <w:pPr>
                              <w:pStyle w:val="31"/>
                              <w:spacing w:line="277" w:lineRule="atLeast"/>
                              <w:jc w:val="center"/>
                              <w:textAlignment w:val="center"/>
                              <w:rPr>
                                <w:color w:val="000000"/>
                                <w:sz w:val="21"/>
                              </w:rPr>
                            </w:pPr>
                            <w:r>
                              <w:rPr>
                                <w:color w:val="000000"/>
                                <w:sz w:val="21"/>
                              </w:rPr>
                              <w:t>孙治和</w:t>
                            </w:r>
                          </w:p>
                        </w:tc>
                        <w:tc>
                          <w:tcPr>
                            <w:tcW w:w="1604" w:type="dxa"/>
                            <w:tcBorders>
                              <w:bottom w:val="single" w:color="000000" w:sz="4" w:space="0"/>
                              <w:right w:val="single" w:color="000000" w:sz="4" w:space="0"/>
                            </w:tcBorders>
                            <w:noWrap w:val="0"/>
                            <w:vAlign w:val="center"/>
                          </w:tcPr>
                          <w:p w14:paraId="7DDC166C">
                            <w:pPr>
                              <w:pStyle w:val="31"/>
                              <w:spacing w:line="277" w:lineRule="atLeast"/>
                              <w:textAlignment w:val="center"/>
                              <w:rPr>
                                <w:color w:val="000000"/>
                                <w:sz w:val="21"/>
                              </w:rPr>
                            </w:pPr>
                            <w:r>
                              <w:rPr>
                                <w:color w:val="000000"/>
                                <w:sz w:val="21"/>
                              </w:rPr>
                              <w:t>陕西省榆林市</w:t>
                            </w:r>
                          </w:p>
                          <w:p w14:paraId="0580C3F4">
                            <w:pPr>
                              <w:pStyle w:val="31"/>
                              <w:spacing w:line="277" w:lineRule="atLeast"/>
                              <w:textAlignment w:val="center"/>
                              <w:rPr>
                                <w:color w:val="000000"/>
                                <w:sz w:val="21"/>
                              </w:rPr>
                            </w:pPr>
                            <w:r>
                              <w:rPr>
                                <w:color w:val="000000"/>
                                <w:sz w:val="21"/>
                              </w:rPr>
                              <w:t>神木县</w:t>
                            </w:r>
                          </w:p>
                        </w:tc>
                        <w:tc>
                          <w:tcPr>
                            <w:tcW w:w="1218" w:type="dxa"/>
                            <w:tcBorders>
                              <w:bottom w:val="single" w:color="000000" w:sz="4" w:space="0"/>
                              <w:right w:val="single" w:color="000000" w:sz="4" w:space="0"/>
                            </w:tcBorders>
                            <w:noWrap w:val="0"/>
                            <w:vAlign w:val="center"/>
                          </w:tcPr>
                          <w:p w14:paraId="1E1008CD">
                            <w:pPr>
                              <w:pStyle w:val="31"/>
                              <w:spacing w:line="277" w:lineRule="atLeast"/>
                              <w:jc w:val="center"/>
                              <w:textAlignment w:val="center"/>
                              <w:rPr>
                                <w:color w:val="000000"/>
                                <w:sz w:val="21"/>
                              </w:rPr>
                            </w:pPr>
                            <w:r>
                              <w:rPr>
                                <w:color w:val="000000"/>
                                <w:sz w:val="21"/>
                              </w:rPr>
                              <w:t>无机盐制造</w:t>
                            </w:r>
                          </w:p>
                        </w:tc>
                        <w:tc>
                          <w:tcPr>
                            <w:tcW w:w="1349" w:type="dxa"/>
                            <w:tcBorders>
                              <w:bottom w:val="single" w:color="000000" w:sz="4" w:space="0"/>
                              <w:right w:val="single" w:color="000000" w:sz="4" w:space="0"/>
                            </w:tcBorders>
                            <w:noWrap w:val="0"/>
                            <w:vAlign w:val="center"/>
                          </w:tcPr>
                          <w:p w14:paraId="1805D1E2">
                            <w:pPr>
                              <w:pStyle w:val="31"/>
                              <w:spacing w:line="277" w:lineRule="atLeast"/>
                              <w:jc w:val="center"/>
                              <w:textAlignment w:val="center"/>
                              <w:rPr>
                                <w:color w:val="000000"/>
                                <w:sz w:val="21"/>
                              </w:rPr>
                            </w:pPr>
                            <w:r>
                              <w:rPr>
                                <w:color w:val="000000"/>
                                <w:sz w:val="21"/>
                              </w:rPr>
                              <w:t>13891274698</w:t>
                            </w:r>
                          </w:p>
                        </w:tc>
                        <w:tc>
                          <w:tcPr>
                            <w:tcW w:w="1014" w:type="dxa"/>
                            <w:tcBorders>
                              <w:bottom w:val="single" w:color="000000" w:sz="4" w:space="0"/>
                            </w:tcBorders>
                            <w:noWrap w:val="0"/>
                            <w:vAlign w:val="center"/>
                          </w:tcPr>
                          <w:p w14:paraId="2D384694">
                            <w:pPr>
                              <w:pStyle w:val="31"/>
                              <w:spacing w:line="277" w:lineRule="atLeast"/>
                              <w:jc w:val="center"/>
                              <w:textAlignment w:val="center"/>
                              <w:rPr>
                                <w:color w:val="000000"/>
                                <w:sz w:val="21"/>
                              </w:rPr>
                            </w:pPr>
                            <w:r>
                              <w:rPr>
                                <w:color w:val="000000"/>
                                <w:sz w:val="21"/>
                              </w:rPr>
                              <w:t>2010.9.14</w:t>
                            </w:r>
                          </w:p>
                        </w:tc>
                      </w:tr>
                      <w:tr w14:paraId="66681F6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PrEx>
                        <w:trPr>
                          <w:trHeight w:val="697" w:hRule="exact"/>
                        </w:trPr>
                        <w:tc>
                          <w:tcPr>
                            <w:tcW w:w="578" w:type="dxa"/>
                            <w:tcBorders>
                              <w:right w:val="single" w:color="000000" w:sz="4" w:space="0"/>
                            </w:tcBorders>
                            <w:noWrap w:val="0"/>
                            <w:vAlign w:val="center"/>
                          </w:tcPr>
                          <w:p w14:paraId="2EDD3181">
                            <w:pPr>
                              <w:pStyle w:val="31"/>
                              <w:spacing w:line="277" w:lineRule="atLeast"/>
                              <w:jc w:val="center"/>
                              <w:textAlignment w:val="center"/>
                              <w:rPr>
                                <w:color w:val="000000"/>
                                <w:sz w:val="21"/>
                              </w:rPr>
                            </w:pPr>
                            <w:r>
                              <w:rPr>
                                <w:color w:val="000000"/>
                                <w:sz w:val="21"/>
                              </w:rPr>
                              <w:t>15</w:t>
                            </w:r>
                          </w:p>
                        </w:tc>
                        <w:tc>
                          <w:tcPr>
                            <w:tcW w:w="2568" w:type="dxa"/>
                            <w:tcBorders>
                              <w:right w:val="single" w:color="000000" w:sz="4" w:space="0"/>
                            </w:tcBorders>
                            <w:noWrap w:val="0"/>
                            <w:vAlign w:val="center"/>
                          </w:tcPr>
                          <w:p w14:paraId="463AC453">
                            <w:pPr>
                              <w:pStyle w:val="31"/>
                              <w:spacing w:line="277" w:lineRule="atLeast"/>
                              <w:textAlignment w:val="center"/>
                              <w:rPr>
                                <w:color w:val="000000"/>
                                <w:sz w:val="21"/>
                              </w:rPr>
                            </w:pPr>
                            <w:r>
                              <w:rPr>
                                <w:color w:val="000000"/>
                                <w:sz w:val="21"/>
                              </w:rPr>
                              <w:t>神木县众兴化工有限责任公司</w:t>
                            </w:r>
                          </w:p>
                        </w:tc>
                        <w:tc>
                          <w:tcPr>
                            <w:tcW w:w="793" w:type="dxa"/>
                            <w:tcBorders>
                              <w:right w:val="single" w:color="000000" w:sz="4" w:space="0"/>
                            </w:tcBorders>
                            <w:noWrap w:val="0"/>
                            <w:vAlign w:val="center"/>
                          </w:tcPr>
                          <w:p w14:paraId="354FB075">
                            <w:pPr>
                              <w:pStyle w:val="31"/>
                              <w:spacing w:line="277" w:lineRule="atLeast"/>
                              <w:jc w:val="center"/>
                              <w:textAlignment w:val="center"/>
                              <w:rPr>
                                <w:color w:val="000000"/>
                                <w:sz w:val="21"/>
                              </w:rPr>
                            </w:pPr>
                            <w:r>
                              <w:rPr>
                                <w:color w:val="000000"/>
                                <w:sz w:val="21"/>
                              </w:rPr>
                              <w:t>孙四宽</w:t>
                            </w:r>
                          </w:p>
                        </w:tc>
                        <w:tc>
                          <w:tcPr>
                            <w:tcW w:w="1604" w:type="dxa"/>
                            <w:tcBorders>
                              <w:right w:val="single" w:color="000000" w:sz="4" w:space="0"/>
                            </w:tcBorders>
                            <w:noWrap w:val="0"/>
                            <w:vAlign w:val="center"/>
                          </w:tcPr>
                          <w:p w14:paraId="6639D1F6">
                            <w:pPr>
                              <w:pStyle w:val="31"/>
                              <w:spacing w:line="277" w:lineRule="atLeast"/>
                              <w:textAlignment w:val="center"/>
                              <w:rPr>
                                <w:color w:val="000000"/>
                                <w:sz w:val="21"/>
                              </w:rPr>
                            </w:pPr>
                            <w:r>
                              <w:rPr>
                                <w:color w:val="000000"/>
                                <w:sz w:val="21"/>
                              </w:rPr>
                              <w:t>陕西省榆林市</w:t>
                            </w:r>
                          </w:p>
                          <w:p w14:paraId="125CE619">
                            <w:pPr>
                              <w:pStyle w:val="31"/>
                              <w:spacing w:line="277" w:lineRule="atLeast"/>
                              <w:textAlignment w:val="center"/>
                              <w:rPr>
                                <w:color w:val="000000"/>
                                <w:sz w:val="21"/>
                              </w:rPr>
                            </w:pPr>
                            <w:r>
                              <w:rPr>
                                <w:color w:val="000000"/>
                                <w:sz w:val="21"/>
                              </w:rPr>
                              <w:t>神木县</w:t>
                            </w:r>
                          </w:p>
                        </w:tc>
                        <w:tc>
                          <w:tcPr>
                            <w:tcW w:w="1218" w:type="dxa"/>
                            <w:tcBorders>
                              <w:right w:val="single" w:color="000000" w:sz="4" w:space="0"/>
                            </w:tcBorders>
                            <w:noWrap w:val="0"/>
                            <w:vAlign w:val="center"/>
                          </w:tcPr>
                          <w:p w14:paraId="43E1D152">
                            <w:pPr>
                              <w:pStyle w:val="31"/>
                              <w:spacing w:line="277" w:lineRule="atLeast"/>
                              <w:jc w:val="center"/>
                              <w:textAlignment w:val="center"/>
                              <w:rPr>
                                <w:color w:val="000000"/>
                                <w:sz w:val="21"/>
                              </w:rPr>
                            </w:pPr>
                            <w:r>
                              <w:rPr>
                                <w:color w:val="000000"/>
                                <w:sz w:val="21"/>
                              </w:rPr>
                              <w:t>无机盐制造</w:t>
                            </w:r>
                          </w:p>
                        </w:tc>
                        <w:tc>
                          <w:tcPr>
                            <w:tcW w:w="1349" w:type="dxa"/>
                            <w:tcBorders>
                              <w:right w:val="single" w:color="000000" w:sz="4" w:space="0"/>
                            </w:tcBorders>
                            <w:noWrap w:val="0"/>
                            <w:vAlign w:val="center"/>
                          </w:tcPr>
                          <w:p w14:paraId="5813EEE6">
                            <w:pPr>
                              <w:pStyle w:val="31"/>
                              <w:spacing w:line="277" w:lineRule="atLeast"/>
                              <w:jc w:val="center"/>
                              <w:textAlignment w:val="center"/>
                              <w:rPr>
                                <w:color w:val="000000"/>
                                <w:sz w:val="21"/>
                              </w:rPr>
                            </w:pPr>
                            <w:r>
                              <w:rPr>
                                <w:color w:val="000000"/>
                                <w:sz w:val="21"/>
                              </w:rPr>
                              <w:t>13772946969</w:t>
                            </w:r>
                          </w:p>
                        </w:tc>
                        <w:tc>
                          <w:tcPr>
                            <w:tcW w:w="1014" w:type="dxa"/>
                            <w:noWrap w:val="0"/>
                            <w:vAlign w:val="center"/>
                          </w:tcPr>
                          <w:p w14:paraId="7F57B624">
                            <w:pPr>
                              <w:pStyle w:val="31"/>
                              <w:spacing w:line="277" w:lineRule="atLeast"/>
                              <w:jc w:val="center"/>
                              <w:textAlignment w:val="center"/>
                              <w:rPr>
                                <w:color w:val="000000"/>
                                <w:sz w:val="21"/>
                              </w:rPr>
                            </w:pPr>
                            <w:r>
                              <w:rPr>
                                <w:color w:val="000000"/>
                                <w:sz w:val="21"/>
                              </w:rPr>
                              <w:t>2010.9.14</w:t>
                            </w:r>
                          </w:p>
                        </w:tc>
                      </w:tr>
                    </w:tbl>
                    <w:p w14:paraId="4C7B3E8B">
                      <w:pPr>
                        <w:rPr>
                          <w:color w:val="000000"/>
                          <w:sz w:val="21"/>
                        </w:rPr>
                      </w:pPr>
                    </w:p>
                  </w:txbxContent>
                </v:textbox>
                <w10:wrap type="square" side="largest"/>
              </v:shape>
            </w:pict>
          </mc:Fallback>
        </mc:AlternateContent>
      </w:r>
      <w:r>
        <w:rPr>
          <w:rFonts w:eastAsia="仿宋"/>
          <w:color w:val="auto"/>
          <w:sz w:val="28"/>
          <w:szCs w:val="28"/>
        </w:rPr>
        <w:t>环境应急：针对可能或已发生的突发环境事件需要立即采取某些超出正常工作程序的行动，以避免事件发生或减轻事件后果的状态，也称为紧急状态；同时也泛指立即采取超出正常工作程序的行动。</w:t>
      </w:r>
    </w:p>
    <w:p w14:paraId="1D1823E8">
      <w:pPr>
        <w:pStyle w:val="5"/>
        <w:bidi w:val="0"/>
        <w:rPr>
          <w:color w:val="auto"/>
        </w:rPr>
      </w:pPr>
      <w:bookmarkStart w:id="462" w:name="_Toc1028697614"/>
      <w:bookmarkStart w:id="463" w:name="_Toc9275"/>
      <w:bookmarkStart w:id="464" w:name="_Toc89548267"/>
      <w:bookmarkStart w:id="465" w:name="_Toc89469766"/>
      <w:bookmarkStart w:id="466" w:name="_Toc398733618"/>
      <w:r>
        <w:rPr>
          <w:color w:val="auto"/>
        </w:rPr>
        <w:t>预案编制和解释</w:t>
      </w:r>
      <w:bookmarkEnd w:id="462"/>
      <w:bookmarkEnd w:id="463"/>
      <w:bookmarkEnd w:id="464"/>
      <w:bookmarkEnd w:id="465"/>
      <w:bookmarkEnd w:id="466"/>
    </w:p>
    <w:p w14:paraId="392E5A74">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本预案由</w:t>
      </w:r>
      <w:r>
        <w:rPr>
          <w:rFonts w:hint="eastAsia" w:eastAsia="仿宋"/>
          <w:color w:val="auto"/>
          <w:sz w:val="28"/>
          <w:szCs w:val="28"/>
        </w:rPr>
        <w:t>额尔古纳市</w:t>
      </w:r>
      <w:r>
        <w:rPr>
          <w:rFonts w:eastAsia="仿宋"/>
          <w:color w:val="auto"/>
          <w:sz w:val="28"/>
          <w:szCs w:val="28"/>
        </w:rPr>
        <w:t>突发环境事件应急办公室负责编制和解释，报</w:t>
      </w:r>
      <w:r>
        <w:rPr>
          <w:rFonts w:hint="eastAsia" w:eastAsia="仿宋"/>
          <w:color w:val="auto"/>
          <w:sz w:val="28"/>
          <w:szCs w:val="28"/>
        </w:rPr>
        <w:t>额尔古纳市</w:t>
      </w:r>
      <w:r>
        <w:rPr>
          <w:rFonts w:eastAsia="仿宋"/>
          <w:color w:val="auto"/>
          <w:sz w:val="28"/>
          <w:szCs w:val="28"/>
        </w:rPr>
        <w:t>人民政府</w:t>
      </w:r>
      <w:r>
        <w:rPr>
          <w:rFonts w:hint="eastAsia" w:eastAsia="仿宋"/>
          <w:color w:val="auto"/>
          <w:sz w:val="28"/>
          <w:szCs w:val="28"/>
        </w:rPr>
        <w:t>发布实施</w:t>
      </w:r>
      <w:r>
        <w:rPr>
          <w:rFonts w:eastAsia="仿宋"/>
          <w:color w:val="auto"/>
          <w:sz w:val="28"/>
          <w:szCs w:val="28"/>
        </w:rPr>
        <w:t>，报呼伦贝尔市生态环境局备案。</w:t>
      </w:r>
    </w:p>
    <w:p w14:paraId="04DD4C9D">
      <w:pPr>
        <w:pStyle w:val="5"/>
        <w:bidi w:val="0"/>
        <w:rPr>
          <w:color w:val="auto"/>
        </w:rPr>
      </w:pPr>
      <w:bookmarkStart w:id="467" w:name="_Toc2077440148"/>
      <w:bookmarkStart w:id="468" w:name="_Toc398733619"/>
      <w:bookmarkStart w:id="469" w:name="_Toc21198"/>
      <w:bookmarkStart w:id="470" w:name="_Toc89469767"/>
      <w:bookmarkStart w:id="471" w:name="_Toc89548268"/>
      <w:r>
        <w:rPr>
          <w:color w:val="auto"/>
        </w:rPr>
        <w:t>预案修订</w:t>
      </w:r>
      <w:bookmarkEnd w:id="467"/>
      <w:bookmarkEnd w:id="468"/>
      <w:bookmarkEnd w:id="469"/>
      <w:bookmarkEnd w:id="470"/>
      <w:bookmarkEnd w:id="471"/>
    </w:p>
    <w:p w14:paraId="7EA3E8DB">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本预案要定期评估，每三年至少修订一次，如果实际需要和情势发生变化，以及在实施中发现了新的问题，应及时进行更新、修订和补充，并报</w:t>
      </w:r>
      <w:r>
        <w:rPr>
          <w:rFonts w:hint="eastAsia" w:eastAsia="仿宋"/>
          <w:color w:val="auto"/>
          <w:sz w:val="28"/>
          <w:szCs w:val="28"/>
        </w:rPr>
        <w:t>额尔古纳市</w:t>
      </w:r>
      <w:r>
        <w:rPr>
          <w:rFonts w:eastAsia="仿宋"/>
          <w:color w:val="auto"/>
          <w:sz w:val="28"/>
          <w:szCs w:val="28"/>
        </w:rPr>
        <w:t>人民政府</w:t>
      </w:r>
      <w:r>
        <w:rPr>
          <w:rFonts w:hint="eastAsia" w:eastAsia="仿宋"/>
          <w:color w:val="auto"/>
          <w:sz w:val="28"/>
          <w:szCs w:val="28"/>
        </w:rPr>
        <w:t>发布实施</w:t>
      </w:r>
      <w:r>
        <w:rPr>
          <w:rFonts w:eastAsia="仿宋"/>
          <w:color w:val="auto"/>
          <w:sz w:val="28"/>
          <w:szCs w:val="28"/>
        </w:rPr>
        <w:t>。</w:t>
      </w:r>
    </w:p>
    <w:p w14:paraId="7A912C0C">
      <w:pPr>
        <w:pStyle w:val="5"/>
        <w:bidi w:val="0"/>
        <w:rPr>
          <w:color w:val="auto"/>
        </w:rPr>
      </w:pPr>
      <w:bookmarkStart w:id="472" w:name="_Toc20500"/>
      <w:bookmarkStart w:id="473" w:name="_Toc89469768"/>
      <w:bookmarkStart w:id="474" w:name="_Toc89548269"/>
      <w:bookmarkStart w:id="475" w:name="_Toc398733620"/>
      <w:bookmarkStart w:id="476" w:name="_Toc1747434510"/>
      <w:r>
        <w:rPr>
          <w:color w:val="auto"/>
        </w:rPr>
        <w:t>预案实施</w:t>
      </w:r>
      <w:bookmarkEnd w:id="472"/>
      <w:bookmarkEnd w:id="473"/>
      <w:bookmarkEnd w:id="474"/>
      <w:bookmarkEnd w:id="475"/>
      <w:bookmarkEnd w:id="476"/>
    </w:p>
    <w:p w14:paraId="6FD16E25">
      <w:pPr>
        <w:adjustRightInd w:val="0"/>
        <w:snapToGrid w:val="0"/>
        <w:spacing w:line="360" w:lineRule="auto"/>
        <w:ind w:left="0" w:firstLine="560" w:firstLineChars="200"/>
        <w:rPr>
          <w:rFonts w:eastAsia="仿宋"/>
          <w:color w:val="auto"/>
          <w:sz w:val="32"/>
          <w:szCs w:val="32"/>
        </w:rPr>
        <w:sectPr>
          <w:footnotePr>
            <w:numFmt w:val="decimalHalfWidth"/>
          </w:footnotePr>
          <w:endnotePr>
            <w:numFmt w:val="chineseCounting"/>
          </w:endnotePr>
          <w:pgSz w:w="11905" w:h="16837"/>
          <w:pgMar w:top="1389" w:right="1474" w:bottom="1440" w:left="1587" w:header="709" w:footer="850" w:gutter="0"/>
          <w:pgBorders>
            <w:top w:val="none" w:sz="0" w:space="0"/>
            <w:left w:val="none" w:sz="0" w:space="0"/>
            <w:bottom w:val="none" w:sz="0" w:space="0"/>
            <w:right w:val="none" w:sz="0" w:space="0"/>
          </w:pgBorders>
          <w:pgNumType w:fmt="decimal"/>
          <w:cols w:space="720" w:num="1"/>
          <w:titlePg/>
        </w:sectPr>
      </w:pPr>
      <w:r>
        <w:rPr>
          <w:rFonts w:eastAsia="仿宋"/>
          <w:color w:val="auto"/>
          <w:sz w:val="28"/>
          <w:szCs w:val="28"/>
        </w:rPr>
        <w:t>本预案自批准之日起实施。</w:t>
      </w:r>
    </w:p>
    <w:p w14:paraId="3E1881F3">
      <w:pPr>
        <w:adjustRightInd w:val="0"/>
        <w:snapToGrid w:val="0"/>
        <w:spacing w:before="120" w:beforeLines="50" w:after="120" w:afterLines="50" w:line="360" w:lineRule="auto"/>
        <w:ind w:left="0"/>
        <w:outlineLvl w:val="0"/>
        <w:rPr>
          <w:rFonts w:eastAsia="仿宋"/>
          <w:b/>
          <w:color w:val="auto"/>
          <w:sz w:val="28"/>
          <w:szCs w:val="28"/>
        </w:rPr>
      </w:pPr>
      <w:bookmarkStart w:id="477" w:name="_Toc145453198"/>
      <w:bookmarkStart w:id="478" w:name="_Toc18353"/>
      <w:r>
        <w:rPr>
          <w:rFonts w:eastAsia="仿宋"/>
          <w:b/>
          <w:color w:val="auto"/>
          <w:sz w:val="28"/>
          <w:szCs w:val="28"/>
        </w:rPr>
        <w:t>附件1：</w:t>
      </w:r>
      <w:r>
        <w:rPr>
          <w:rFonts w:hint="eastAsia" w:eastAsia="仿宋"/>
          <w:b/>
          <w:color w:val="auto"/>
          <w:sz w:val="28"/>
          <w:szCs w:val="28"/>
        </w:rPr>
        <w:t>额尔古纳市</w:t>
      </w:r>
      <w:r>
        <w:rPr>
          <w:rFonts w:eastAsia="仿宋"/>
          <w:b/>
          <w:color w:val="auto"/>
          <w:sz w:val="28"/>
          <w:szCs w:val="28"/>
        </w:rPr>
        <w:t>突发环境事件应急救援组织机构成员名单</w:t>
      </w:r>
      <w:bookmarkEnd w:id="477"/>
      <w:bookmarkEnd w:id="478"/>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1011"/>
        <w:gridCol w:w="1970"/>
        <w:gridCol w:w="1515"/>
        <w:gridCol w:w="1076"/>
        <w:gridCol w:w="1897"/>
      </w:tblGrid>
      <w:tr w14:paraId="1F1224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noWrap w:val="0"/>
            <w:vAlign w:val="center"/>
          </w:tcPr>
          <w:p w14:paraId="1C66BF30">
            <w:pPr>
              <w:pStyle w:val="29"/>
              <w:bidi w:val="0"/>
              <w:rPr>
                <w:color w:val="auto"/>
              </w:rPr>
            </w:pPr>
            <w:r>
              <w:rPr>
                <w:color w:val="auto"/>
              </w:rPr>
              <w:t>应急救援机构</w:t>
            </w:r>
          </w:p>
        </w:tc>
        <w:tc>
          <w:tcPr>
            <w:tcW w:w="1011" w:type="dxa"/>
            <w:noWrap w:val="0"/>
            <w:vAlign w:val="center"/>
          </w:tcPr>
          <w:p w14:paraId="115C730A">
            <w:pPr>
              <w:pStyle w:val="29"/>
              <w:bidi w:val="0"/>
              <w:rPr>
                <w:color w:val="auto"/>
              </w:rPr>
            </w:pPr>
            <w:r>
              <w:rPr>
                <w:color w:val="auto"/>
              </w:rPr>
              <w:t>应急组织岗位</w:t>
            </w:r>
          </w:p>
        </w:tc>
        <w:tc>
          <w:tcPr>
            <w:tcW w:w="1970" w:type="dxa"/>
            <w:noWrap w:val="0"/>
            <w:vAlign w:val="center"/>
          </w:tcPr>
          <w:p w14:paraId="2D24BD03">
            <w:pPr>
              <w:pStyle w:val="29"/>
              <w:bidi w:val="0"/>
              <w:rPr>
                <w:color w:val="auto"/>
              </w:rPr>
            </w:pPr>
            <w:r>
              <w:rPr>
                <w:color w:val="auto"/>
              </w:rPr>
              <w:t>成员单位</w:t>
            </w:r>
          </w:p>
        </w:tc>
        <w:tc>
          <w:tcPr>
            <w:tcW w:w="1515" w:type="dxa"/>
            <w:noWrap w:val="0"/>
            <w:vAlign w:val="center"/>
          </w:tcPr>
          <w:p w14:paraId="58F16CCF">
            <w:pPr>
              <w:pStyle w:val="29"/>
              <w:bidi w:val="0"/>
              <w:rPr>
                <w:color w:val="auto"/>
              </w:rPr>
            </w:pPr>
            <w:r>
              <w:rPr>
                <w:color w:val="auto"/>
              </w:rPr>
              <w:t>职务</w:t>
            </w:r>
          </w:p>
        </w:tc>
        <w:tc>
          <w:tcPr>
            <w:tcW w:w="1076" w:type="dxa"/>
            <w:noWrap w:val="0"/>
            <w:vAlign w:val="center"/>
          </w:tcPr>
          <w:p w14:paraId="5C957019">
            <w:pPr>
              <w:pStyle w:val="29"/>
              <w:bidi w:val="0"/>
              <w:rPr>
                <w:color w:val="auto"/>
              </w:rPr>
            </w:pPr>
            <w:r>
              <w:rPr>
                <w:color w:val="auto"/>
              </w:rPr>
              <w:t>姓名</w:t>
            </w:r>
          </w:p>
        </w:tc>
        <w:tc>
          <w:tcPr>
            <w:tcW w:w="1691" w:type="dxa"/>
            <w:noWrap w:val="0"/>
            <w:vAlign w:val="center"/>
          </w:tcPr>
          <w:p w14:paraId="5668BB42">
            <w:pPr>
              <w:pStyle w:val="29"/>
              <w:bidi w:val="0"/>
              <w:rPr>
                <w:color w:val="auto"/>
              </w:rPr>
            </w:pPr>
            <w:r>
              <w:rPr>
                <w:color w:val="auto"/>
              </w:rPr>
              <w:t>紧急联络方式</w:t>
            </w:r>
          </w:p>
        </w:tc>
      </w:tr>
      <w:tr w14:paraId="492949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31166F3A">
            <w:pPr>
              <w:pStyle w:val="29"/>
              <w:bidi w:val="0"/>
              <w:rPr>
                <w:color w:val="auto"/>
              </w:rPr>
            </w:pPr>
            <w:r>
              <w:rPr>
                <w:color w:val="auto"/>
              </w:rPr>
              <w:t>应急指挥部</w:t>
            </w:r>
          </w:p>
        </w:tc>
        <w:tc>
          <w:tcPr>
            <w:tcW w:w="1011" w:type="dxa"/>
            <w:noWrap w:val="0"/>
            <w:vAlign w:val="center"/>
          </w:tcPr>
          <w:p w14:paraId="0344A6AE">
            <w:pPr>
              <w:pStyle w:val="29"/>
              <w:bidi w:val="0"/>
              <w:rPr>
                <w:color w:val="auto"/>
              </w:rPr>
            </w:pPr>
            <w:r>
              <w:rPr>
                <w:color w:val="auto"/>
              </w:rPr>
              <w:t>总指挥</w:t>
            </w:r>
          </w:p>
        </w:tc>
        <w:tc>
          <w:tcPr>
            <w:tcW w:w="1970" w:type="dxa"/>
            <w:vMerge w:val="restart"/>
            <w:noWrap w:val="0"/>
            <w:vAlign w:val="center"/>
          </w:tcPr>
          <w:p w14:paraId="33CC1729">
            <w:pPr>
              <w:pStyle w:val="29"/>
              <w:bidi w:val="0"/>
              <w:rPr>
                <w:color w:val="auto"/>
              </w:rPr>
            </w:pPr>
            <w:r>
              <w:rPr>
                <w:color w:val="auto"/>
              </w:rPr>
              <w:t>人民政府</w:t>
            </w:r>
          </w:p>
        </w:tc>
        <w:tc>
          <w:tcPr>
            <w:tcW w:w="1515" w:type="dxa"/>
            <w:noWrap w:val="0"/>
            <w:vAlign w:val="center"/>
          </w:tcPr>
          <w:p w14:paraId="1661B3B9">
            <w:pPr>
              <w:pStyle w:val="29"/>
              <w:bidi w:val="0"/>
              <w:rPr>
                <w:color w:val="auto"/>
              </w:rPr>
            </w:pPr>
            <w:r>
              <w:rPr>
                <w:color w:val="auto"/>
              </w:rPr>
              <w:t>市长</w:t>
            </w:r>
          </w:p>
        </w:tc>
        <w:tc>
          <w:tcPr>
            <w:tcW w:w="1076" w:type="dxa"/>
            <w:noWrap w:val="0"/>
            <w:vAlign w:val="center"/>
          </w:tcPr>
          <w:p w14:paraId="3EB14C4B">
            <w:pPr>
              <w:pStyle w:val="29"/>
              <w:bidi w:val="0"/>
              <w:rPr>
                <w:rFonts w:hint="eastAsia"/>
                <w:color w:val="auto"/>
                <w:lang w:eastAsia="zh-CN"/>
              </w:rPr>
            </w:pPr>
            <w:r>
              <w:rPr>
                <w:rFonts w:hint="eastAsia"/>
                <w:color w:val="auto"/>
                <w:lang w:eastAsia="zh-CN"/>
              </w:rPr>
              <w:t>耿浩</w:t>
            </w:r>
          </w:p>
        </w:tc>
        <w:tc>
          <w:tcPr>
            <w:tcW w:w="1691" w:type="dxa"/>
            <w:noWrap w:val="0"/>
            <w:vAlign w:val="center"/>
          </w:tcPr>
          <w:p w14:paraId="54B8976A">
            <w:pPr>
              <w:pStyle w:val="29"/>
              <w:bidi w:val="0"/>
              <w:rPr>
                <w:color w:val="auto"/>
              </w:rPr>
            </w:pPr>
            <w:r>
              <w:rPr>
                <w:rFonts w:hint="eastAsia"/>
                <w:color w:val="auto"/>
              </w:rPr>
              <w:t>13904703886</w:t>
            </w:r>
          </w:p>
        </w:tc>
      </w:tr>
      <w:tr w14:paraId="2E9619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7A36207E">
            <w:pPr>
              <w:pStyle w:val="29"/>
              <w:bidi w:val="0"/>
              <w:rPr>
                <w:color w:val="auto"/>
              </w:rPr>
            </w:pPr>
          </w:p>
        </w:tc>
        <w:tc>
          <w:tcPr>
            <w:tcW w:w="1011" w:type="dxa"/>
            <w:noWrap w:val="0"/>
            <w:vAlign w:val="center"/>
          </w:tcPr>
          <w:p w14:paraId="0DE2100D">
            <w:pPr>
              <w:pStyle w:val="29"/>
              <w:bidi w:val="0"/>
              <w:rPr>
                <w:color w:val="auto"/>
              </w:rPr>
            </w:pPr>
            <w:r>
              <w:rPr>
                <w:color w:val="auto"/>
              </w:rPr>
              <w:t>副总指挥</w:t>
            </w:r>
          </w:p>
        </w:tc>
        <w:tc>
          <w:tcPr>
            <w:tcW w:w="1970" w:type="dxa"/>
            <w:vMerge w:val="continue"/>
            <w:noWrap w:val="0"/>
            <w:vAlign w:val="center"/>
          </w:tcPr>
          <w:p w14:paraId="423F2A21">
            <w:pPr>
              <w:pStyle w:val="29"/>
              <w:bidi w:val="0"/>
              <w:rPr>
                <w:color w:val="auto"/>
              </w:rPr>
            </w:pPr>
          </w:p>
        </w:tc>
        <w:tc>
          <w:tcPr>
            <w:tcW w:w="1515" w:type="dxa"/>
            <w:noWrap w:val="0"/>
            <w:vAlign w:val="center"/>
          </w:tcPr>
          <w:p w14:paraId="34F9BDD7">
            <w:pPr>
              <w:pStyle w:val="29"/>
              <w:bidi w:val="0"/>
              <w:rPr>
                <w:color w:val="auto"/>
              </w:rPr>
            </w:pPr>
            <w:r>
              <w:rPr>
                <w:color w:val="auto"/>
              </w:rPr>
              <w:t>副市长</w:t>
            </w:r>
          </w:p>
        </w:tc>
        <w:tc>
          <w:tcPr>
            <w:tcW w:w="1076" w:type="dxa"/>
            <w:noWrap w:val="0"/>
            <w:vAlign w:val="center"/>
          </w:tcPr>
          <w:p w14:paraId="64B830B7">
            <w:pPr>
              <w:pStyle w:val="29"/>
              <w:bidi w:val="0"/>
              <w:rPr>
                <w:rFonts w:hint="eastAsia"/>
                <w:color w:val="auto"/>
                <w:lang w:eastAsia="zh-CN"/>
              </w:rPr>
            </w:pPr>
            <w:r>
              <w:rPr>
                <w:rFonts w:hint="eastAsia"/>
                <w:color w:val="auto"/>
                <w:lang w:eastAsia="zh-CN"/>
              </w:rPr>
              <w:t>张松波</w:t>
            </w:r>
          </w:p>
        </w:tc>
        <w:tc>
          <w:tcPr>
            <w:tcW w:w="1691" w:type="dxa"/>
            <w:noWrap w:val="0"/>
            <w:vAlign w:val="center"/>
          </w:tcPr>
          <w:p w14:paraId="53A0BEBB">
            <w:pPr>
              <w:pStyle w:val="29"/>
              <w:bidi w:val="0"/>
              <w:rPr>
                <w:color w:val="auto"/>
              </w:rPr>
            </w:pPr>
            <w:r>
              <w:rPr>
                <w:rFonts w:hint="eastAsia"/>
                <w:color w:val="auto"/>
              </w:rPr>
              <w:t>13754103322</w:t>
            </w:r>
          </w:p>
        </w:tc>
      </w:tr>
      <w:tr w14:paraId="7748E4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1259" w:type="dxa"/>
            <w:vMerge w:val="restart"/>
            <w:noWrap w:val="0"/>
            <w:vAlign w:val="center"/>
          </w:tcPr>
          <w:p w14:paraId="6085F485">
            <w:pPr>
              <w:pStyle w:val="29"/>
              <w:bidi w:val="0"/>
              <w:rPr>
                <w:color w:val="auto"/>
              </w:rPr>
            </w:pPr>
            <w:r>
              <w:rPr>
                <w:color w:val="auto"/>
              </w:rPr>
              <w:t>应急办公室</w:t>
            </w:r>
          </w:p>
        </w:tc>
        <w:tc>
          <w:tcPr>
            <w:tcW w:w="1011" w:type="dxa"/>
            <w:noWrap w:val="0"/>
            <w:vAlign w:val="center"/>
          </w:tcPr>
          <w:p w14:paraId="288A3824">
            <w:pPr>
              <w:pStyle w:val="29"/>
              <w:bidi w:val="0"/>
              <w:rPr>
                <w:color w:val="auto"/>
              </w:rPr>
            </w:pPr>
            <w:r>
              <w:rPr>
                <w:color w:val="auto"/>
              </w:rPr>
              <w:t>主任</w:t>
            </w:r>
          </w:p>
        </w:tc>
        <w:tc>
          <w:tcPr>
            <w:tcW w:w="1970" w:type="dxa"/>
            <w:noWrap w:val="0"/>
            <w:vAlign w:val="center"/>
          </w:tcPr>
          <w:p w14:paraId="4863B946">
            <w:pPr>
              <w:pStyle w:val="29"/>
              <w:bidi w:val="0"/>
              <w:rPr>
                <w:color w:val="auto"/>
              </w:rPr>
            </w:pPr>
            <w:r>
              <w:rPr>
                <w:color w:val="auto"/>
              </w:rPr>
              <w:t>人民政府</w:t>
            </w:r>
          </w:p>
        </w:tc>
        <w:tc>
          <w:tcPr>
            <w:tcW w:w="1515" w:type="dxa"/>
            <w:noWrap w:val="0"/>
            <w:vAlign w:val="center"/>
          </w:tcPr>
          <w:p w14:paraId="132EC1B7">
            <w:pPr>
              <w:pStyle w:val="29"/>
              <w:bidi w:val="0"/>
              <w:rPr>
                <w:color w:val="auto"/>
              </w:rPr>
            </w:pPr>
            <w:r>
              <w:rPr>
                <w:color w:val="auto"/>
              </w:rPr>
              <w:t>办公室主任</w:t>
            </w:r>
          </w:p>
        </w:tc>
        <w:tc>
          <w:tcPr>
            <w:tcW w:w="1076" w:type="dxa"/>
            <w:noWrap w:val="0"/>
            <w:vAlign w:val="center"/>
          </w:tcPr>
          <w:p w14:paraId="5CB12CAC">
            <w:pPr>
              <w:pStyle w:val="29"/>
              <w:bidi w:val="0"/>
              <w:rPr>
                <w:rFonts w:hint="eastAsia"/>
                <w:color w:val="auto"/>
                <w:lang w:eastAsia="zh-CN"/>
              </w:rPr>
            </w:pPr>
            <w:r>
              <w:rPr>
                <w:rFonts w:hint="eastAsia"/>
                <w:color w:val="auto"/>
                <w:lang w:eastAsia="zh-CN"/>
              </w:rPr>
              <w:t>胥继良</w:t>
            </w:r>
          </w:p>
        </w:tc>
        <w:tc>
          <w:tcPr>
            <w:tcW w:w="1691" w:type="dxa"/>
            <w:noWrap w:val="0"/>
            <w:vAlign w:val="center"/>
          </w:tcPr>
          <w:p w14:paraId="5683FE7B">
            <w:pPr>
              <w:pStyle w:val="29"/>
              <w:bidi w:val="0"/>
              <w:rPr>
                <w:rFonts w:hint="default"/>
                <w:color w:val="auto"/>
                <w:lang w:val="en-US" w:eastAsia="zh-CN"/>
              </w:rPr>
            </w:pPr>
            <w:r>
              <w:rPr>
                <w:rFonts w:hint="eastAsia"/>
                <w:color w:val="auto"/>
                <w:lang w:val="en-US" w:eastAsia="zh-CN"/>
              </w:rPr>
              <w:t>--</w:t>
            </w:r>
          </w:p>
        </w:tc>
      </w:tr>
      <w:tr w14:paraId="2F8CEB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9" w:type="dxa"/>
            <w:vMerge w:val="continue"/>
            <w:noWrap w:val="0"/>
            <w:vAlign w:val="center"/>
          </w:tcPr>
          <w:p w14:paraId="68EFB75A">
            <w:pPr>
              <w:pStyle w:val="29"/>
              <w:bidi w:val="0"/>
              <w:rPr>
                <w:color w:val="auto"/>
              </w:rPr>
            </w:pPr>
          </w:p>
        </w:tc>
        <w:tc>
          <w:tcPr>
            <w:tcW w:w="1011" w:type="dxa"/>
            <w:noWrap w:val="0"/>
            <w:vAlign w:val="center"/>
          </w:tcPr>
          <w:p w14:paraId="4B730F49">
            <w:pPr>
              <w:pStyle w:val="29"/>
              <w:bidi w:val="0"/>
              <w:rPr>
                <w:color w:val="auto"/>
              </w:rPr>
            </w:pPr>
            <w:r>
              <w:rPr>
                <w:color w:val="auto"/>
              </w:rPr>
              <w:t>成员</w:t>
            </w:r>
          </w:p>
        </w:tc>
        <w:tc>
          <w:tcPr>
            <w:tcW w:w="1970" w:type="dxa"/>
            <w:noWrap w:val="0"/>
            <w:vAlign w:val="center"/>
          </w:tcPr>
          <w:p w14:paraId="32307BD2">
            <w:pPr>
              <w:pStyle w:val="29"/>
              <w:bidi w:val="0"/>
              <w:rPr>
                <w:color w:val="auto"/>
              </w:rPr>
            </w:pPr>
            <w:r>
              <w:rPr>
                <w:color w:val="auto"/>
              </w:rPr>
              <w:t>生态环境综合行政执法大队</w:t>
            </w:r>
          </w:p>
        </w:tc>
        <w:tc>
          <w:tcPr>
            <w:tcW w:w="1515" w:type="dxa"/>
            <w:noWrap w:val="0"/>
            <w:vAlign w:val="center"/>
          </w:tcPr>
          <w:p w14:paraId="751A6A04">
            <w:pPr>
              <w:pStyle w:val="29"/>
              <w:bidi w:val="0"/>
              <w:rPr>
                <w:color w:val="auto"/>
              </w:rPr>
            </w:pPr>
            <w:r>
              <w:rPr>
                <w:rFonts w:hint="eastAsia"/>
                <w:color w:val="auto"/>
              </w:rPr>
              <w:t>大队长</w:t>
            </w:r>
          </w:p>
        </w:tc>
        <w:tc>
          <w:tcPr>
            <w:tcW w:w="1076" w:type="dxa"/>
            <w:noWrap w:val="0"/>
            <w:vAlign w:val="center"/>
          </w:tcPr>
          <w:p w14:paraId="0DA67F3C">
            <w:pPr>
              <w:pStyle w:val="29"/>
              <w:bidi w:val="0"/>
              <w:rPr>
                <w:rFonts w:hint="eastAsia"/>
                <w:color w:val="auto"/>
                <w:lang w:eastAsia="zh-CN"/>
              </w:rPr>
            </w:pPr>
            <w:r>
              <w:rPr>
                <w:rFonts w:hint="eastAsia"/>
                <w:color w:val="auto"/>
                <w:lang w:eastAsia="zh-CN"/>
              </w:rPr>
              <w:t>于洪刚</w:t>
            </w:r>
          </w:p>
        </w:tc>
        <w:tc>
          <w:tcPr>
            <w:tcW w:w="1691" w:type="dxa"/>
            <w:noWrap w:val="0"/>
            <w:vAlign w:val="center"/>
          </w:tcPr>
          <w:p w14:paraId="1814B487">
            <w:pPr>
              <w:pStyle w:val="29"/>
              <w:bidi w:val="0"/>
              <w:rPr>
                <w:rFonts w:hint="default"/>
                <w:color w:val="auto"/>
                <w:lang w:val="en-US" w:eastAsia="zh-CN"/>
              </w:rPr>
            </w:pPr>
            <w:r>
              <w:rPr>
                <w:rFonts w:hint="eastAsia"/>
                <w:color w:val="auto"/>
                <w:lang w:val="en-US" w:eastAsia="zh-CN"/>
              </w:rPr>
              <w:t>--</w:t>
            </w:r>
          </w:p>
        </w:tc>
      </w:tr>
      <w:tr w14:paraId="00BAF7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08438B9C">
            <w:pPr>
              <w:pStyle w:val="29"/>
              <w:bidi w:val="0"/>
              <w:rPr>
                <w:color w:val="auto"/>
                <w:highlight w:val="none"/>
              </w:rPr>
            </w:pPr>
            <w:r>
              <w:rPr>
                <w:color w:val="auto"/>
                <w:highlight w:val="none"/>
              </w:rPr>
              <w:t>应急专家组</w:t>
            </w:r>
          </w:p>
        </w:tc>
        <w:tc>
          <w:tcPr>
            <w:tcW w:w="1011" w:type="dxa"/>
            <w:noWrap w:val="0"/>
            <w:vAlign w:val="center"/>
          </w:tcPr>
          <w:p w14:paraId="6BBD3E73">
            <w:pPr>
              <w:pStyle w:val="29"/>
              <w:bidi w:val="0"/>
              <w:rPr>
                <w:color w:val="auto"/>
                <w:highlight w:val="none"/>
              </w:rPr>
            </w:pPr>
            <w:r>
              <w:rPr>
                <w:color w:val="auto"/>
                <w:highlight w:val="none"/>
              </w:rPr>
              <w:t>组长</w:t>
            </w:r>
          </w:p>
        </w:tc>
        <w:tc>
          <w:tcPr>
            <w:tcW w:w="1970" w:type="dxa"/>
            <w:noWrap w:val="0"/>
            <w:vAlign w:val="center"/>
          </w:tcPr>
          <w:p w14:paraId="3E102E78">
            <w:pPr>
              <w:pStyle w:val="29"/>
              <w:bidi w:val="0"/>
              <w:rPr>
                <w:color w:val="auto"/>
                <w:highlight w:val="none"/>
              </w:rPr>
            </w:pPr>
            <w:r>
              <w:rPr>
                <w:rFonts w:hint="eastAsia"/>
                <w:color w:val="auto"/>
                <w:highlight w:val="none"/>
              </w:rPr>
              <w:t>生态环境分局</w:t>
            </w:r>
          </w:p>
        </w:tc>
        <w:tc>
          <w:tcPr>
            <w:tcW w:w="1515" w:type="dxa"/>
            <w:noWrap w:val="0"/>
            <w:vAlign w:val="center"/>
          </w:tcPr>
          <w:p w14:paraId="349D312B">
            <w:pPr>
              <w:pStyle w:val="29"/>
              <w:bidi w:val="0"/>
              <w:rPr>
                <w:color w:val="auto"/>
                <w:highlight w:val="none"/>
              </w:rPr>
            </w:pPr>
            <w:r>
              <w:rPr>
                <w:rFonts w:hint="eastAsia"/>
                <w:color w:val="auto"/>
                <w:highlight w:val="none"/>
              </w:rPr>
              <w:t>副</w:t>
            </w:r>
            <w:r>
              <w:rPr>
                <w:color w:val="auto"/>
                <w:highlight w:val="none"/>
              </w:rPr>
              <w:t>局长</w:t>
            </w:r>
          </w:p>
        </w:tc>
        <w:tc>
          <w:tcPr>
            <w:tcW w:w="1076" w:type="dxa"/>
            <w:noWrap w:val="0"/>
            <w:vAlign w:val="center"/>
          </w:tcPr>
          <w:p w14:paraId="0EAEB569">
            <w:pPr>
              <w:pStyle w:val="29"/>
              <w:bidi w:val="0"/>
              <w:rPr>
                <w:rFonts w:hint="eastAsia"/>
                <w:color w:val="auto"/>
                <w:lang w:eastAsia="zh-CN"/>
              </w:rPr>
            </w:pPr>
            <w:r>
              <w:rPr>
                <w:rFonts w:hint="eastAsia"/>
                <w:color w:val="auto"/>
                <w:lang w:eastAsia="zh-CN"/>
              </w:rPr>
              <w:t>唐金泉</w:t>
            </w:r>
          </w:p>
        </w:tc>
        <w:tc>
          <w:tcPr>
            <w:tcW w:w="1691" w:type="dxa"/>
            <w:noWrap w:val="0"/>
            <w:vAlign w:val="center"/>
          </w:tcPr>
          <w:p w14:paraId="018E9088">
            <w:pPr>
              <w:pStyle w:val="29"/>
              <w:bidi w:val="0"/>
              <w:rPr>
                <w:color w:val="auto"/>
              </w:rPr>
            </w:pPr>
            <w:r>
              <w:rPr>
                <w:rFonts w:hint="eastAsia"/>
                <w:color w:val="auto"/>
                <w:lang w:val="en-US" w:eastAsia="zh-CN"/>
              </w:rPr>
              <w:t>18547099984</w:t>
            </w:r>
          </w:p>
        </w:tc>
      </w:tr>
      <w:tr w14:paraId="43355C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32C2093">
            <w:pPr>
              <w:pStyle w:val="29"/>
              <w:bidi w:val="0"/>
              <w:rPr>
                <w:color w:val="auto"/>
                <w:highlight w:val="none"/>
              </w:rPr>
            </w:pPr>
          </w:p>
        </w:tc>
        <w:tc>
          <w:tcPr>
            <w:tcW w:w="1011" w:type="dxa"/>
            <w:noWrap w:val="0"/>
            <w:vAlign w:val="center"/>
          </w:tcPr>
          <w:p w14:paraId="0383B33A">
            <w:pPr>
              <w:pStyle w:val="29"/>
              <w:bidi w:val="0"/>
              <w:rPr>
                <w:color w:val="auto"/>
                <w:highlight w:val="none"/>
              </w:rPr>
            </w:pPr>
            <w:r>
              <w:rPr>
                <w:color w:val="auto"/>
                <w:highlight w:val="none"/>
              </w:rPr>
              <w:t>副组长</w:t>
            </w:r>
          </w:p>
        </w:tc>
        <w:tc>
          <w:tcPr>
            <w:tcW w:w="1970" w:type="dxa"/>
            <w:noWrap w:val="0"/>
            <w:vAlign w:val="center"/>
          </w:tcPr>
          <w:p w14:paraId="7FCFC5BE">
            <w:pPr>
              <w:pStyle w:val="29"/>
              <w:bidi w:val="0"/>
              <w:rPr>
                <w:color w:val="auto"/>
                <w:highlight w:val="none"/>
              </w:rPr>
            </w:pPr>
            <w:r>
              <w:rPr>
                <w:color w:val="auto"/>
                <w:highlight w:val="none"/>
              </w:rPr>
              <w:t>应急管理局</w:t>
            </w:r>
          </w:p>
        </w:tc>
        <w:tc>
          <w:tcPr>
            <w:tcW w:w="1515" w:type="dxa"/>
            <w:noWrap w:val="0"/>
            <w:vAlign w:val="center"/>
          </w:tcPr>
          <w:p w14:paraId="030769F0">
            <w:pPr>
              <w:pStyle w:val="29"/>
              <w:bidi w:val="0"/>
              <w:rPr>
                <w:color w:val="auto"/>
                <w:highlight w:val="none"/>
              </w:rPr>
            </w:pPr>
            <w:r>
              <w:rPr>
                <w:color w:val="auto"/>
                <w:highlight w:val="none"/>
              </w:rPr>
              <w:t>局长</w:t>
            </w:r>
          </w:p>
        </w:tc>
        <w:tc>
          <w:tcPr>
            <w:tcW w:w="1076" w:type="dxa"/>
            <w:noWrap w:val="0"/>
            <w:vAlign w:val="center"/>
          </w:tcPr>
          <w:p w14:paraId="01B6B6D4">
            <w:pPr>
              <w:pStyle w:val="29"/>
              <w:bidi w:val="0"/>
              <w:rPr>
                <w:rFonts w:hint="default"/>
                <w:color w:val="auto"/>
                <w:lang w:val="en-US" w:eastAsia="zh-CN"/>
              </w:rPr>
            </w:pPr>
            <w:r>
              <w:rPr>
                <w:rFonts w:hint="eastAsia"/>
                <w:color w:val="auto"/>
                <w:lang w:val="en-US" w:eastAsia="zh-CN"/>
              </w:rPr>
              <w:t>丁  波</w:t>
            </w:r>
          </w:p>
        </w:tc>
        <w:tc>
          <w:tcPr>
            <w:tcW w:w="1691" w:type="dxa"/>
            <w:noWrap w:val="0"/>
            <w:vAlign w:val="center"/>
          </w:tcPr>
          <w:p w14:paraId="3E4FCE71">
            <w:pPr>
              <w:pStyle w:val="29"/>
              <w:bidi w:val="0"/>
              <w:rPr>
                <w:color w:val="auto"/>
              </w:rPr>
            </w:pPr>
            <w:r>
              <w:rPr>
                <w:rFonts w:hint="eastAsia"/>
                <w:color w:val="auto"/>
              </w:rPr>
              <w:t>18147085868</w:t>
            </w:r>
          </w:p>
        </w:tc>
      </w:tr>
      <w:tr w14:paraId="7FACA8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1259" w:type="dxa"/>
            <w:vMerge w:val="continue"/>
            <w:noWrap w:val="0"/>
            <w:vAlign w:val="center"/>
          </w:tcPr>
          <w:p w14:paraId="56274A70">
            <w:pPr>
              <w:pStyle w:val="29"/>
              <w:bidi w:val="0"/>
              <w:rPr>
                <w:color w:val="auto"/>
                <w:highlight w:val="none"/>
              </w:rPr>
            </w:pPr>
          </w:p>
        </w:tc>
        <w:tc>
          <w:tcPr>
            <w:tcW w:w="1011" w:type="dxa"/>
            <w:vMerge w:val="restart"/>
            <w:noWrap w:val="0"/>
            <w:vAlign w:val="center"/>
          </w:tcPr>
          <w:p w14:paraId="3779A55B">
            <w:pPr>
              <w:pStyle w:val="29"/>
              <w:bidi w:val="0"/>
              <w:rPr>
                <w:color w:val="auto"/>
                <w:highlight w:val="none"/>
              </w:rPr>
            </w:pPr>
            <w:r>
              <w:rPr>
                <w:color w:val="auto"/>
                <w:highlight w:val="none"/>
              </w:rPr>
              <w:t>成员</w:t>
            </w:r>
          </w:p>
        </w:tc>
        <w:tc>
          <w:tcPr>
            <w:tcW w:w="1970" w:type="dxa"/>
            <w:noWrap w:val="0"/>
            <w:vAlign w:val="center"/>
          </w:tcPr>
          <w:p w14:paraId="0A763694">
            <w:pPr>
              <w:pStyle w:val="29"/>
              <w:bidi w:val="0"/>
              <w:rPr>
                <w:color w:val="auto"/>
                <w:highlight w:val="none"/>
              </w:rPr>
            </w:pPr>
            <w:r>
              <w:rPr>
                <w:color w:val="auto"/>
                <w:highlight w:val="none"/>
              </w:rPr>
              <w:t>农牧局</w:t>
            </w:r>
          </w:p>
        </w:tc>
        <w:tc>
          <w:tcPr>
            <w:tcW w:w="1515" w:type="dxa"/>
            <w:noWrap w:val="0"/>
            <w:vAlign w:val="center"/>
          </w:tcPr>
          <w:p w14:paraId="2FBA03E2">
            <w:pPr>
              <w:pStyle w:val="29"/>
              <w:bidi w:val="0"/>
              <w:rPr>
                <w:color w:val="auto"/>
                <w:highlight w:val="none"/>
              </w:rPr>
            </w:pPr>
            <w:r>
              <w:rPr>
                <w:color w:val="auto"/>
                <w:highlight w:val="none"/>
              </w:rPr>
              <w:t>局长</w:t>
            </w:r>
          </w:p>
        </w:tc>
        <w:tc>
          <w:tcPr>
            <w:tcW w:w="1076" w:type="dxa"/>
            <w:noWrap w:val="0"/>
            <w:vAlign w:val="center"/>
          </w:tcPr>
          <w:p w14:paraId="271E2896">
            <w:pPr>
              <w:pStyle w:val="29"/>
              <w:bidi w:val="0"/>
              <w:rPr>
                <w:rFonts w:hint="default"/>
                <w:color w:val="auto"/>
                <w:lang w:val="en-US" w:eastAsia="zh-CN"/>
              </w:rPr>
            </w:pPr>
            <w:r>
              <w:rPr>
                <w:rFonts w:hint="eastAsia"/>
                <w:color w:val="auto"/>
                <w:lang w:val="en-US" w:eastAsia="zh-CN"/>
              </w:rPr>
              <w:t>齐子群</w:t>
            </w:r>
          </w:p>
        </w:tc>
        <w:tc>
          <w:tcPr>
            <w:tcW w:w="1691" w:type="dxa"/>
            <w:noWrap w:val="0"/>
            <w:vAlign w:val="center"/>
          </w:tcPr>
          <w:p w14:paraId="15F9695F">
            <w:pPr>
              <w:pStyle w:val="29"/>
              <w:bidi w:val="0"/>
              <w:rPr>
                <w:color w:val="auto"/>
              </w:rPr>
            </w:pPr>
            <w:r>
              <w:rPr>
                <w:rFonts w:hint="eastAsia"/>
                <w:color w:val="auto"/>
                <w:lang w:val="en-US" w:eastAsia="zh-CN"/>
              </w:rPr>
              <w:t>13314705866</w:t>
            </w:r>
          </w:p>
        </w:tc>
      </w:tr>
      <w:tr w14:paraId="1A2470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E6C55DC">
            <w:pPr>
              <w:pStyle w:val="29"/>
              <w:bidi w:val="0"/>
              <w:rPr>
                <w:color w:val="auto"/>
              </w:rPr>
            </w:pPr>
          </w:p>
        </w:tc>
        <w:tc>
          <w:tcPr>
            <w:tcW w:w="1011" w:type="dxa"/>
            <w:vMerge w:val="continue"/>
            <w:noWrap w:val="0"/>
            <w:vAlign w:val="center"/>
          </w:tcPr>
          <w:p w14:paraId="584AFF09">
            <w:pPr>
              <w:pStyle w:val="29"/>
              <w:bidi w:val="0"/>
              <w:rPr>
                <w:color w:val="auto"/>
              </w:rPr>
            </w:pPr>
          </w:p>
        </w:tc>
        <w:tc>
          <w:tcPr>
            <w:tcW w:w="1970" w:type="dxa"/>
            <w:noWrap w:val="0"/>
            <w:vAlign w:val="center"/>
          </w:tcPr>
          <w:p w14:paraId="57558D05">
            <w:pPr>
              <w:pStyle w:val="29"/>
              <w:bidi w:val="0"/>
              <w:rPr>
                <w:color w:val="auto"/>
              </w:rPr>
            </w:pPr>
            <w:r>
              <w:rPr>
                <w:color w:val="auto"/>
              </w:rPr>
              <w:t>水利局</w:t>
            </w:r>
          </w:p>
        </w:tc>
        <w:tc>
          <w:tcPr>
            <w:tcW w:w="1515" w:type="dxa"/>
            <w:noWrap w:val="0"/>
            <w:vAlign w:val="center"/>
          </w:tcPr>
          <w:p w14:paraId="3370F0B6">
            <w:pPr>
              <w:pStyle w:val="29"/>
              <w:bidi w:val="0"/>
              <w:rPr>
                <w:color w:val="auto"/>
              </w:rPr>
            </w:pPr>
            <w:r>
              <w:rPr>
                <w:color w:val="auto"/>
              </w:rPr>
              <w:t>局长</w:t>
            </w:r>
          </w:p>
        </w:tc>
        <w:tc>
          <w:tcPr>
            <w:tcW w:w="1076" w:type="dxa"/>
            <w:noWrap w:val="0"/>
            <w:vAlign w:val="center"/>
          </w:tcPr>
          <w:p w14:paraId="410F93F1">
            <w:pPr>
              <w:pStyle w:val="29"/>
              <w:bidi w:val="0"/>
              <w:rPr>
                <w:color w:val="auto"/>
              </w:rPr>
            </w:pPr>
            <w:r>
              <w:rPr>
                <w:rFonts w:hint="eastAsia"/>
                <w:color w:val="auto"/>
                <w:lang w:eastAsia="zh-CN"/>
              </w:rPr>
              <w:t>金</w:t>
            </w:r>
            <w:r>
              <w:rPr>
                <w:rFonts w:hint="eastAsia"/>
                <w:color w:val="auto"/>
                <w:lang w:val="en-US" w:eastAsia="zh-CN"/>
              </w:rPr>
              <w:t xml:space="preserve">  </w:t>
            </w:r>
            <w:r>
              <w:rPr>
                <w:rFonts w:hint="eastAsia"/>
                <w:color w:val="auto"/>
                <w:lang w:eastAsia="zh-CN"/>
              </w:rPr>
              <w:t>军</w:t>
            </w:r>
          </w:p>
        </w:tc>
        <w:tc>
          <w:tcPr>
            <w:tcW w:w="1691" w:type="dxa"/>
            <w:noWrap w:val="0"/>
            <w:vAlign w:val="center"/>
          </w:tcPr>
          <w:p w14:paraId="39979DF9">
            <w:pPr>
              <w:pStyle w:val="29"/>
              <w:bidi w:val="0"/>
              <w:rPr>
                <w:color w:val="auto"/>
              </w:rPr>
            </w:pPr>
            <w:r>
              <w:rPr>
                <w:rFonts w:hint="eastAsia"/>
                <w:color w:val="auto"/>
                <w:lang w:val="en-US" w:eastAsia="zh-CN"/>
              </w:rPr>
              <w:t>15048066777</w:t>
            </w:r>
          </w:p>
        </w:tc>
      </w:tr>
      <w:tr w14:paraId="6F54B8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0FB94DB9">
            <w:pPr>
              <w:pStyle w:val="29"/>
              <w:bidi w:val="0"/>
              <w:rPr>
                <w:color w:val="auto"/>
              </w:rPr>
            </w:pPr>
            <w:r>
              <w:rPr>
                <w:color w:val="auto"/>
              </w:rPr>
              <w:t>综合协调组</w:t>
            </w:r>
          </w:p>
        </w:tc>
        <w:tc>
          <w:tcPr>
            <w:tcW w:w="1011" w:type="dxa"/>
            <w:noWrap w:val="0"/>
            <w:vAlign w:val="center"/>
          </w:tcPr>
          <w:p w14:paraId="6BAE22DE">
            <w:pPr>
              <w:pStyle w:val="29"/>
              <w:bidi w:val="0"/>
              <w:rPr>
                <w:color w:val="auto"/>
              </w:rPr>
            </w:pPr>
            <w:r>
              <w:rPr>
                <w:color w:val="auto"/>
              </w:rPr>
              <w:t>组长</w:t>
            </w:r>
          </w:p>
        </w:tc>
        <w:tc>
          <w:tcPr>
            <w:tcW w:w="1970" w:type="dxa"/>
            <w:noWrap w:val="0"/>
            <w:vAlign w:val="center"/>
          </w:tcPr>
          <w:p w14:paraId="7906B098">
            <w:pPr>
              <w:pStyle w:val="29"/>
              <w:bidi w:val="0"/>
              <w:rPr>
                <w:color w:val="auto"/>
              </w:rPr>
            </w:pPr>
            <w:r>
              <w:rPr>
                <w:color w:val="auto"/>
              </w:rPr>
              <w:t>市委</w:t>
            </w:r>
          </w:p>
        </w:tc>
        <w:tc>
          <w:tcPr>
            <w:tcW w:w="1515" w:type="dxa"/>
            <w:noWrap w:val="0"/>
            <w:vAlign w:val="center"/>
          </w:tcPr>
          <w:p w14:paraId="76BCD75B">
            <w:pPr>
              <w:pStyle w:val="29"/>
              <w:bidi w:val="0"/>
              <w:rPr>
                <w:color w:val="auto"/>
              </w:rPr>
            </w:pPr>
            <w:r>
              <w:rPr>
                <w:color w:val="auto"/>
              </w:rPr>
              <w:t>办公室副主任</w:t>
            </w:r>
          </w:p>
        </w:tc>
        <w:tc>
          <w:tcPr>
            <w:tcW w:w="1076" w:type="dxa"/>
            <w:noWrap w:val="0"/>
            <w:vAlign w:val="center"/>
          </w:tcPr>
          <w:p w14:paraId="0EE3BAF9">
            <w:pPr>
              <w:pStyle w:val="29"/>
              <w:bidi w:val="0"/>
              <w:rPr>
                <w:rFonts w:hint="eastAsia"/>
                <w:color w:val="auto"/>
                <w:lang w:val="en-US" w:eastAsia="zh-CN"/>
              </w:rPr>
            </w:pPr>
            <w:r>
              <w:rPr>
                <w:rFonts w:hint="eastAsia"/>
                <w:color w:val="auto"/>
                <w:lang w:val="en-US" w:eastAsia="zh-CN"/>
              </w:rPr>
              <w:t>邓坤峰</w:t>
            </w:r>
          </w:p>
        </w:tc>
        <w:tc>
          <w:tcPr>
            <w:tcW w:w="1691" w:type="dxa"/>
            <w:noWrap w:val="0"/>
            <w:vAlign w:val="center"/>
          </w:tcPr>
          <w:p w14:paraId="53493449">
            <w:pPr>
              <w:pStyle w:val="29"/>
              <w:bidi w:val="0"/>
              <w:rPr>
                <w:rFonts w:hint="default"/>
                <w:color w:val="auto"/>
                <w:lang w:val="en-US" w:eastAsia="zh-CN"/>
              </w:rPr>
            </w:pPr>
            <w:r>
              <w:rPr>
                <w:rFonts w:hint="eastAsia"/>
                <w:color w:val="auto"/>
                <w:lang w:val="en-US" w:eastAsia="zh-CN"/>
              </w:rPr>
              <w:t>18304705656</w:t>
            </w:r>
          </w:p>
        </w:tc>
      </w:tr>
      <w:tr w14:paraId="69D640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29B36C8">
            <w:pPr>
              <w:pStyle w:val="29"/>
              <w:bidi w:val="0"/>
              <w:rPr>
                <w:color w:val="auto"/>
              </w:rPr>
            </w:pPr>
          </w:p>
        </w:tc>
        <w:tc>
          <w:tcPr>
            <w:tcW w:w="1011" w:type="dxa"/>
            <w:noWrap w:val="0"/>
            <w:vAlign w:val="center"/>
          </w:tcPr>
          <w:p w14:paraId="19F11500">
            <w:pPr>
              <w:pStyle w:val="29"/>
              <w:bidi w:val="0"/>
              <w:rPr>
                <w:rFonts w:hint="eastAsia" w:eastAsia="仿宋"/>
                <w:color w:val="auto"/>
                <w:lang w:val="en-US" w:eastAsia="zh-CN"/>
              </w:rPr>
            </w:pPr>
            <w:r>
              <w:rPr>
                <w:rFonts w:hint="eastAsia"/>
                <w:color w:val="auto"/>
                <w:lang w:val="en-US" w:eastAsia="zh-CN"/>
              </w:rPr>
              <w:t>组员</w:t>
            </w:r>
          </w:p>
        </w:tc>
        <w:tc>
          <w:tcPr>
            <w:tcW w:w="1970" w:type="dxa"/>
            <w:noWrap w:val="0"/>
            <w:vAlign w:val="center"/>
          </w:tcPr>
          <w:p w14:paraId="5DE5A427">
            <w:pPr>
              <w:pStyle w:val="29"/>
              <w:bidi w:val="0"/>
              <w:rPr>
                <w:color w:val="auto"/>
              </w:rPr>
            </w:pPr>
            <w:r>
              <w:rPr>
                <w:rFonts w:hint="eastAsia"/>
                <w:color w:val="auto"/>
              </w:rPr>
              <w:t>交通运输局</w:t>
            </w:r>
          </w:p>
        </w:tc>
        <w:tc>
          <w:tcPr>
            <w:tcW w:w="1515" w:type="dxa"/>
            <w:noWrap w:val="0"/>
            <w:vAlign w:val="center"/>
          </w:tcPr>
          <w:p w14:paraId="50168FEB">
            <w:pPr>
              <w:pStyle w:val="29"/>
              <w:bidi w:val="0"/>
              <w:rPr>
                <w:color w:val="auto"/>
              </w:rPr>
            </w:pPr>
            <w:r>
              <w:rPr>
                <w:rFonts w:hint="eastAsia"/>
                <w:color w:val="auto"/>
              </w:rPr>
              <w:t>办公室主任</w:t>
            </w:r>
          </w:p>
        </w:tc>
        <w:tc>
          <w:tcPr>
            <w:tcW w:w="1076" w:type="dxa"/>
            <w:noWrap w:val="0"/>
            <w:vAlign w:val="center"/>
          </w:tcPr>
          <w:p w14:paraId="3E257750">
            <w:pPr>
              <w:pStyle w:val="29"/>
              <w:bidi w:val="0"/>
              <w:rPr>
                <w:rFonts w:hint="eastAsia"/>
                <w:color w:val="auto"/>
                <w:lang w:val="en-US" w:eastAsia="zh-CN"/>
              </w:rPr>
            </w:pPr>
            <w:r>
              <w:rPr>
                <w:rFonts w:hint="eastAsia"/>
                <w:color w:val="auto"/>
                <w:lang w:val="en-US" w:eastAsia="zh-CN"/>
              </w:rPr>
              <w:t>李鑫</w:t>
            </w:r>
          </w:p>
        </w:tc>
        <w:tc>
          <w:tcPr>
            <w:tcW w:w="1691" w:type="dxa"/>
            <w:noWrap w:val="0"/>
            <w:vAlign w:val="center"/>
          </w:tcPr>
          <w:p w14:paraId="48E1144D">
            <w:pPr>
              <w:pStyle w:val="29"/>
              <w:bidi w:val="0"/>
              <w:rPr>
                <w:rFonts w:hint="eastAsia"/>
                <w:color w:val="auto"/>
                <w:lang w:val="en-US" w:eastAsia="zh-CN"/>
              </w:rPr>
            </w:pPr>
            <w:r>
              <w:rPr>
                <w:rFonts w:hint="eastAsia"/>
                <w:color w:val="auto"/>
                <w:lang w:val="en-US" w:eastAsia="zh-CN"/>
              </w:rPr>
              <w:t>13789500614</w:t>
            </w:r>
          </w:p>
        </w:tc>
      </w:tr>
      <w:tr w14:paraId="685AC3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1259" w:type="dxa"/>
            <w:vMerge w:val="restart"/>
            <w:noWrap w:val="0"/>
            <w:vAlign w:val="center"/>
          </w:tcPr>
          <w:p w14:paraId="3D6E99C5">
            <w:pPr>
              <w:pStyle w:val="29"/>
              <w:bidi w:val="0"/>
              <w:rPr>
                <w:color w:val="auto"/>
              </w:rPr>
            </w:pPr>
            <w:r>
              <w:rPr>
                <w:color w:val="auto"/>
              </w:rPr>
              <w:t>现场处置组</w:t>
            </w:r>
          </w:p>
        </w:tc>
        <w:tc>
          <w:tcPr>
            <w:tcW w:w="1011" w:type="dxa"/>
            <w:noWrap w:val="0"/>
            <w:vAlign w:val="center"/>
          </w:tcPr>
          <w:p w14:paraId="74EE1C69">
            <w:pPr>
              <w:pStyle w:val="29"/>
              <w:bidi w:val="0"/>
              <w:rPr>
                <w:color w:val="auto"/>
              </w:rPr>
            </w:pPr>
            <w:r>
              <w:rPr>
                <w:color w:val="auto"/>
              </w:rPr>
              <w:t>组长</w:t>
            </w:r>
          </w:p>
        </w:tc>
        <w:tc>
          <w:tcPr>
            <w:tcW w:w="1970" w:type="dxa"/>
            <w:noWrap w:val="0"/>
            <w:vAlign w:val="center"/>
          </w:tcPr>
          <w:p w14:paraId="43225CA0">
            <w:pPr>
              <w:pStyle w:val="29"/>
              <w:bidi w:val="0"/>
              <w:rPr>
                <w:color w:val="auto"/>
              </w:rPr>
            </w:pPr>
            <w:r>
              <w:rPr>
                <w:color w:val="auto"/>
              </w:rPr>
              <w:t>生态环境</w:t>
            </w:r>
            <w:r>
              <w:rPr>
                <w:rFonts w:hint="eastAsia"/>
                <w:color w:val="auto"/>
              </w:rPr>
              <w:t>分</w:t>
            </w:r>
            <w:r>
              <w:rPr>
                <w:color w:val="auto"/>
              </w:rPr>
              <w:t>局</w:t>
            </w:r>
          </w:p>
        </w:tc>
        <w:tc>
          <w:tcPr>
            <w:tcW w:w="1515" w:type="dxa"/>
            <w:noWrap w:val="0"/>
            <w:vAlign w:val="center"/>
          </w:tcPr>
          <w:p w14:paraId="77B08005">
            <w:pPr>
              <w:pStyle w:val="29"/>
              <w:bidi w:val="0"/>
              <w:rPr>
                <w:color w:val="auto"/>
              </w:rPr>
            </w:pPr>
            <w:r>
              <w:rPr>
                <w:color w:val="auto"/>
              </w:rPr>
              <w:t>副局长</w:t>
            </w:r>
          </w:p>
        </w:tc>
        <w:tc>
          <w:tcPr>
            <w:tcW w:w="1076" w:type="dxa"/>
            <w:noWrap w:val="0"/>
            <w:vAlign w:val="center"/>
          </w:tcPr>
          <w:p w14:paraId="5950D47C">
            <w:pPr>
              <w:pStyle w:val="29"/>
              <w:bidi w:val="0"/>
              <w:rPr>
                <w:color w:val="auto"/>
              </w:rPr>
            </w:pPr>
            <w:r>
              <w:rPr>
                <w:rFonts w:hint="eastAsia"/>
                <w:color w:val="auto"/>
                <w:lang w:eastAsia="zh-CN"/>
              </w:rPr>
              <w:t>唐金泉</w:t>
            </w:r>
          </w:p>
        </w:tc>
        <w:tc>
          <w:tcPr>
            <w:tcW w:w="1691" w:type="dxa"/>
            <w:noWrap w:val="0"/>
            <w:vAlign w:val="center"/>
          </w:tcPr>
          <w:p w14:paraId="2C2B9B7D">
            <w:pPr>
              <w:pStyle w:val="29"/>
              <w:bidi w:val="0"/>
              <w:rPr>
                <w:color w:val="auto"/>
              </w:rPr>
            </w:pPr>
            <w:r>
              <w:rPr>
                <w:rFonts w:hint="eastAsia"/>
                <w:color w:val="auto"/>
                <w:lang w:val="en-US" w:eastAsia="zh-CN"/>
              </w:rPr>
              <w:t>18547099984</w:t>
            </w:r>
          </w:p>
        </w:tc>
      </w:tr>
      <w:tr w14:paraId="6E1619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AD72023">
            <w:pPr>
              <w:pStyle w:val="29"/>
              <w:bidi w:val="0"/>
              <w:rPr>
                <w:color w:val="auto"/>
              </w:rPr>
            </w:pPr>
          </w:p>
        </w:tc>
        <w:tc>
          <w:tcPr>
            <w:tcW w:w="1011" w:type="dxa"/>
            <w:noWrap w:val="0"/>
            <w:vAlign w:val="center"/>
          </w:tcPr>
          <w:p w14:paraId="47F90DDC">
            <w:pPr>
              <w:pStyle w:val="29"/>
              <w:bidi w:val="0"/>
              <w:rPr>
                <w:color w:val="auto"/>
              </w:rPr>
            </w:pPr>
            <w:r>
              <w:rPr>
                <w:color w:val="auto"/>
              </w:rPr>
              <w:t>副组长</w:t>
            </w:r>
          </w:p>
        </w:tc>
        <w:tc>
          <w:tcPr>
            <w:tcW w:w="1970" w:type="dxa"/>
            <w:noWrap w:val="0"/>
            <w:vAlign w:val="center"/>
          </w:tcPr>
          <w:p w14:paraId="33011A3A">
            <w:pPr>
              <w:pStyle w:val="29"/>
              <w:bidi w:val="0"/>
              <w:rPr>
                <w:color w:val="auto"/>
              </w:rPr>
            </w:pPr>
            <w:r>
              <w:rPr>
                <w:color w:val="auto"/>
              </w:rPr>
              <w:t>消防救援大队</w:t>
            </w:r>
          </w:p>
        </w:tc>
        <w:tc>
          <w:tcPr>
            <w:tcW w:w="1515" w:type="dxa"/>
            <w:noWrap w:val="0"/>
            <w:vAlign w:val="center"/>
          </w:tcPr>
          <w:p w14:paraId="3DAF87EE">
            <w:pPr>
              <w:pStyle w:val="29"/>
              <w:bidi w:val="0"/>
              <w:rPr>
                <w:color w:val="auto"/>
              </w:rPr>
            </w:pPr>
            <w:r>
              <w:rPr>
                <w:color w:val="auto"/>
              </w:rPr>
              <w:t>大队长</w:t>
            </w:r>
          </w:p>
        </w:tc>
        <w:tc>
          <w:tcPr>
            <w:tcW w:w="1076" w:type="dxa"/>
            <w:noWrap w:val="0"/>
            <w:vAlign w:val="center"/>
          </w:tcPr>
          <w:p w14:paraId="16A5F714">
            <w:pPr>
              <w:pStyle w:val="29"/>
              <w:bidi w:val="0"/>
              <w:rPr>
                <w:color w:val="auto"/>
              </w:rPr>
            </w:pPr>
            <w:r>
              <w:rPr>
                <w:rFonts w:hint="default"/>
                <w:color w:val="auto"/>
                <w:lang w:val="en-US" w:eastAsia="zh-CN"/>
              </w:rPr>
              <w:t>达林台</w:t>
            </w:r>
          </w:p>
        </w:tc>
        <w:tc>
          <w:tcPr>
            <w:tcW w:w="1691" w:type="dxa"/>
            <w:noWrap w:val="0"/>
            <w:vAlign w:val="center"/>
          </w:tcPr>
          <w:p w14:paraId="79CAB07A">
            <w:pPr>
              <w:pStyle w:val="29"/>
              <w:bidi w:val="0"/>
              <w:rPr>
                <w:color w:val="auto"/>
              </w:rPr>
            </w:pPr>
            <w:r>
              <w:rPr>
                <w:rFonts w:hint="default"/>
                <w:color w:val="auto"/>
                <w:lang w:val="en-US" w:eastAsia="zh-CN"/>
              </w:rPr>
              <w:t>15547000111</w:t>
            </w:r>
          </w:p>
        </w:tc>
      </w:tr>
      <w:tr w14:paraId="48841E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0838E43">
            <w:pPr>
              <w:pStyle w:val="29"/>
              <w:bidi w:val="0"/>
              <w:rPr>
                <w:color w:val="auto"/>
              </w:rPr>
            </w:pPr>
          </w:p>
        </w:tc>
        <w:tc>
          <w:tcPr>
            <w:tcW w:w="1011" w:type="dxa"/>
            <w:vMerge w:val="restart"/>
            <w:noWrap w:val="0"/>
            <w:vAlign w:val="center"/>
          </w:tcPr>
          <w:p w14:paraId="2011AA60">
            <w:pPr>
              <w:pStyle w:val="29"/>
              <w:bidi w:val="0"/>
              <w:rPr>
                <w:color w:val="auto"/>
              </w:rPr>
            </w:pPr>
            <w:r>
              <w:rPr>
                <w:color w:val="auto"/>
              </w:rPr>
              <w:t>成员</w:t>
            </w:r>
          </w:p>
        </w:tc>
        <w:tc>
          <w:tcPr>
            <w:tcW w:w="1970" w:type="dxa"/>
            <w:noWrap w:val="0"/>
            <w:vAlign w:val="center"/>
          </w:tcPr>
          <w:p w14:paraId="00219CC7">
            <w:pPr>
              <w:pStyle w:val="29"/>
              <w:bidi w:val="0"/>
              <w:rPr>
                <w:color w:val="auto"/>
              </w:rPr>
            </w:pPr>
            <w:r>
              <w:rPr>
                <w:color w:val="auto"/>
              </w:rPr>
              <w:t>工业和信息化局</w:t>
            </w:r>
          </w:p>
        </w:tc>
        <w:tc>
          <w:tcPr>
            <w:tcW w:w="1515" w:type="dxa"/>
            <w:noWrap w:val="0"/>
            <w:vAlign w:val="center"/>
          </w:tcPr>
          <w:p w14:paraId="440E71F5">
            <w:pPr>
              <w:pStyle w:val="29"/>
              <w:bidi w:val="0"/>
              <w:rPr>
                <w:color w:val="auto"/>
              </w:rPr>
            </w:pPr>
            <w:r>
              <w:rPr>
                <w:color w:val="auto"/>
              </w:rPr>
              <w:t>局长</w:t>
            </w:r>
          </w:p>
        </w:tc>
        <w:tc>
          <w:tcPr>
            <w:tcW w:w="1076" w:type="dxa"/>
            <w:noWrap w:val="0"/>
            <w:vAlign w:val="center"/>
          </w:tcPr>
          <w:p w14:paraId="171D9D82">
            <w:pPr>
              <w:pStyle w:val="29"/>
              <w:bidi w:val="0"/>
              <w:rPr>
                <w:color w:val="auto"/>
              </w:rPr>
            </w:pPr>
            <w:r>
              <w:rPr>
                <w:rFonts w:hint="eastAsia"/>
                <w:color w:val="auto"/>
                <w:lang w:val="en-US" w:eastAsia="zh-CN"/>
              </w:rPr>
              <w:t>刘国财</w:t>
            </w:r>
          </w:p>
        </w:tc>
        <w:tc>
          <w:tcPr>
            <w:tcW w:w="1691" w:type="dxa"/>
            <w:shd w:val="clear" w:color="auto" w:fill="auto"/>
            <w:noWrap w:val="0"/>
            <w:vAlign w:val="center"/>
          </w:tcPr>
          <w:p w14:paraId="7B05A84F">
            <w:pPr>
              <w:pStyle w:val="29"/>
              <w:bidi w:val="0"/>
              <w:rPr>
                <w:rFonts w:hint="default"/>
                <w:color w:val="auto"/>
                <w:lang w:val="en-US" w:eastAsia="zh-CN"/>
              </w:rPr>
            </w:pPr>
            <w:r>
              <w:rPr>
                <w:rFonts w:hint="eastAsia"/>
                <w:color w:val="auto"/>
                <w:lang w:val="en-US" w:eastAsia="zh-CN"/>
              </w:rPr>
              <w:t>15335602277</w:t>
            </w:r>
          </w:p>
        </w:tc>
      </w:tr>
      <w:tr w14:paraId="7738AD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251B46A">
            <w:pPr>
              <w:pStyle w:val="29"/>
              <w:bidi w:val="0"/>
              <w:rPr>
                <w:color w:val="auto"/>
              </w:rPr>
            </w:pPr>
          </w:p>
        </w:tc>
        <w:tc>
          <w:tcPr>
            <w:tcW w:w="1011" w:type="dxa"/>
            <w:vMerge w:val="continue"/>
            <w:noWrap w:val="0"/>
            <w:vAlign w:val="center"/>
          </w:tcPr>
          <w:p w14:paraId="20C3D1DE">
            <w:pPr>
              <w:pStyle w:val="29"/>
              <w:bidi w:val="0"/>
              <w:rPr>
                <w:color w:val="auto"/>
              </w:rPr>
            </w:pPr>
          </w:p>
        </w:tc>
        <w:tc>
          <w:tcPr>
            <w:tcW w:w="1970" w:type="dxa"/>
            <w:noWrap w:val="0"/>
            <w:vAlign w:val="center"/>
          </w:tcPr>
          <w:p w14:paraId="4E7F639F">
            <w:pPr>
              <w:pStyle w:val="29"/>
              <w:bidi w:val="0"/>
              <w:rPr>
                <w:color w:val="auto"/>
              </w:rPr>
            </w:pPr>
            <w:r>
              <w:rPr>
                <w:color w:val="auto"/>
              </w:rPr>
              <w:t>公安局</w:t>
            </w:r>
          </w:p>
        </w:tc>
        <w:tc>
          <w:tcPr>
            <w:tcW w:w="1515" w:type="dxa"/>
            <w:noWrap w:val="0"/>
            <w:vAlign w:val="center"/>
          </w:tcPr>
          <w:p w14:paraId="5EB24685">
            <w:pPr>
              <w:pStyle w:val="29"/>
              <w:bidi w:val="0"/>
              <w:rPr>
                <w:color w:val="auto"/>
              </w:rPr>
            </w:pPr>
            <w:r>
              <w:rPr>
                <w:color w:val="auto"/>
              </w:rPr>
              <w:t>副局长</w:t>
            </w:r>
          </w:p>
        </w:tc>
        <w:tc>
          <w:tcPr>
            <w:tcW w:w="1076" w:type="dxa"/>
            <w:noWrap w:val="0"/>
            <w:vAlign w:val="center"/>
          </w:tcPr>
          <w:p w14:paraId="77EEB8AC">
            <w:pPr>
              <w:pStyle w:val="29"/>
              <w:bidi w:val="0"/>
              <w:rPr>
                <w:color w:val="auto"/>
              </w:rPr>
            </w:pPr>
            <w:r>
              <w:rPr>
                <w:rFonts w:hint="eastAsia"/>
                <w:color w:val="auto"/>
                <w:lang w:val="en-US" w:eastAsia="zh-CN"/>
              </w:rPr>
              <w:t>杨金刚</w:t>
            </w:r>
          </w:p>
        </w:tc>
        <w:tc>
          <w:tcPr>
            <w:tcW w:w="1691" w:type="dxa"/>
            <w:noWrap w:val="0"/>
            <w:vAlign w:val="center"/>
          </w:tcPr>
          <w:p w14:paraId="012D08F5">
            <w:pPr>
              <w:pStyle w:val="29"/>
              <w:bidi w:val="0"/>
              <w:rPr>
                <w:color w:val="auto"/>
              </w:rPr>
            </w:pPr>
            <w:r>
              <w:rPr>
                <w:rFonts w:hint="eastAsia"/>
                <w:color w:val="auto"/>
                <w:lang w:val="en-US" w:eastAsia="zh-CN"/>
              </w:rPr>
              <w:t>13948605666</w:t>
            </w:r>
          </w:p>
        </w:tc>
      </w:tr>
      <w:tr w14:paraId="4C7A9B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1259" w:type="dxa"/>
            <w:vMerge w:val="continue"/>
            <w:noWrap w:val="0"/>
            <w:vAlign w:val="center"/>
          </w:tcPr>
          <w:p w14:paraId="1295DCD5">
            <w:pPr>
              <w:pStyle w:val="29"/>
              <w:bidi w:val="0"/>
              <w:rPr>
                <w:color w:val="auto"/>
              </w:rPr>
            </w:pPr>
          </w:p>
        </w:tc>
        <w:tc>
          <w:tcPr>
            <w:tcW w:w="1011" w:type="dxa"/>
            <w:vMerge w:val="continue"/>
            <w:noWrap w:val="0"/>
            <w:vAlign w:val="center"/>
          </w:tcPr>
          <w:p w14:paraId="24A3AA0A">
            <w:pPr>
              <w:pStyle w:val="29"/>
              <w:bidi w:val="0"/>
              <w:rPr>
                <w:color w:val="auto"/>
              </w:rPr>
            </w:pPr>
          </w:p>
        </w:tc>
        <w:tc>
          <w:tcPr>
            <w:tcW w:w="1970" w:type="dxa"/>
            <w:noWrap w:val="0"/>
            <w:vAlign w:val="center"/>
          </w:tcPr>
          <w:p w14:paraId="454B0352">
            <w:pPr>
              <w:pStyle w:val="29"/>
              <w:bidi w:val="0"/>
              <w:rPr>
                <w:color w:val="auto"/>
              </w:rPr>
            </w:pPr>
            <w:r>
              <w:rPr>
                <w:color w:val="auto"/>
              </w:rPr>
              <w:t>自然资源局</w:t>
            </w:r>
          </w:p>
        </w:tc>
        <w:tc>
          <w:tcPr>
            <w:tcW w:w="1515" w:type="dxa"/>
            <w:noWrap w:val="0"/>
            <w:vAlign w:val="center"/>
          </w:tcPr>
          <w:p w14:paraId="1C0F2C76">
            <w:pPr>
              <w:pStyle w:val="29"/>
              <w:bidi w:val="0"/>
              <w:rPr>
                <w:color w:val="auto"/>
              </w:rPr>
            </w:pPr>
            <w:r>
              <w:rPr>
                <w:color w:val="auto"/>
              </w:rPr>
              <w:t>局长</w:t>
            </w:r>
          </w:p>
        </w:tc>
        <w:tc>
          <w:tcPr>
            <w:tcW w:w="1076" w:type="dxa"/>
            <w:noWrap w:val="0"/>
            <w:vAlign w:val="center"/>
          </w:tcPr>
          <w:p w14:paraId="0F69F67F">
            <w:pPr>
              <w:pStyle w:val="29"/>
              <w:bidi w:val="0"/>
              <w:rPr>
                <w:color w:val="auto"/>
              </w:rPr>
            </w:pPr>
            <w:r>
              <w:rPr>
                <w:rFonts w:hint="eastAsia"/>
                <w:color w:val="auto"/>
                <w:lang w:val="en-US" w:eastAsia="zh-CN"/>
              </w:rPr>
              <w:t>高洪达</w:t>
            </w:r>
          </w:p>
        </w:tc>
        <w:tc>
          <w:tcPr>
            <w:tcW w:w="1691" w:type="dxa"/>
            <w:noWrap w:val="0"/>
            <w:vAlign w:val="center"/>
          </w:tcPr>
          <w:p w14:paraId="549F48E4">
            <w:pPr>
              <w:pStyle w:val="29"/>
              <w:bidi w:val="0"/>
              <w:rPr>
                <w:color w:val="auto"/>
              </w:rPr>
            </w:pPr>
            <w:r>
              <w:rPr>
                <w:rFonts w:hint="eastAsia"/>
                <w:color w:val="auto"/>
                <w:lang w:val="en-US" w:eastAsia="zh-CN"/>
              </w:rPr>
              <w:t>13347033434</w:t>
            </w:r>
          </w:p>
        </w:tc>
      </w:tr>
      <w:tr w14:paraId="6CBC83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18D4C7E0">
            <w:pPr>
              <w:pStyle w:val="29"/>
              <w:bidi w:val="0"/>
              <w:rPr>
                <w:color w:val="auto"/>
              </w:rPr>
            </w:pPr>
          </w:p>
        </w:tc>
        <w:tc>
          <w:tcPr>
            <w:tcW w:w="1011" w:type="dxa"/>
            <w:vMerge w:val="continue"/>
            <w:noWrap w:val="0"/>
            <w:vAlign w:val="center"/>
          </w:tcPr>
          <w:p w14:paraId="54159482">
            <w:pPr>
              <w:pStyle w:val="29"/>
              <w:bidi w:val="0"/>
              <w:rPr>
                <w:color w:val="auto"/>
              </w:rPr>
            </w:pPr>
          </w:p>
        </w:tc>
        <w:tc>
          <w:tcPr>
            <w:tcW w:w="1970" w:type="dxa"/>
            <w:noWrap w:val="0"/>
            <w:vAlign w:val="center"/>
          </w:tcPr>
          <w:p w14:paraId="71E990C3">
            <w:pPr>
              <w:pStyle w:val="29"/>
              <w:bidi w:val="0"/>
              <w:rPr>
                <w:color w:val="auto"/>
              </w:rPr>
            </w:pPr>
            <w:r>
              <w:rPr>
                <w:color w:val="auto"/>
              </w:rPr>
              <w:t>交通运输局</w:t>
            </w:r>
          </w:p>
        </w:tc>
        <w:tc>
          <w:tcPr>
            <w:tcW w:w="1515" w:type="dxa"/>
            <w:noWrap w:val="0"/>
            <w:vAlign w:val="center"/>
          </w:tcPr>
          <w:p w14:paraId="1D0460C3">
            <w:pPr>
              <w:pStyle w:val="29"/>
              <w:bidi w:val="0"/>
              <w:rPr>
                <w:color w:val="auto"/>
              </w:rPr>
            </w:pPr>
            <w:r>
              <w:rPr>
                <w:color w:val="auto"/>
              </w:rPr>
              <w:t>局长</w:t>
            </w:r>
          </w:p>
        </w:tc>
        <w:tc>
          <w:tcPr>
            <w:tcW w:w="1076" w:type="dxa"/>
            <w:noWrap w:val="0"/>
            <w:vAlign w:val="center"/>
          </w:tcPr>
          <w:p w14:paraId="674527F2">
            <w:pPr>
              <w:pStyle w:val="29"/>
              <w:bidi w:val="0"/>
              <w:rPr>
                <w:color w:val="auto"/>
              </w:rPr>
            </w:pPr>
            <w:r>
              <w:rPr>
                <w:rFonts w:hint="eastAsia"/>
                <w:color w:val="auto"/>
                <w:lang w:val="en-US" w:eastAsia="zh-CN"/>
              </w:rPr>
              <w:t>李树崴</w:t>
            </w:r>
          </w:p>
        </w:tc>
        <w:tc>
          <w:tcPr>
            <w:tcW w:w="1691" w:type="dxa"/>
            <w:noWrap w:val="0"/>
            <w:vAlign w:val="center"/>
          </w:tcPr>
          <w:p w14:paraId="391FC6BB">
            <w:pPr>
              <w:pStyle w:val="29"/>
              <w:bidi w:val="0"/>
              <w:rPr>
                <w:color w:val="auto"/>
              </w:rPr>
            </w:pPr>
            <w:r>
              <w:rPr>
                <w:rFonts w:hint="eastAsia"/>
                <w:color w:val="auto"/>
                <w:lang w:val="en-US" w:eastAsia="zh-CN"/>
              </w:rPr>
              <w:t>13847033000</w:t>
            </w:r>
          </w:p>
        </w:tc>
      </w:tr>
      <w:tr w14:paraId="4F578B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33125CB0">
            <w:pPr>
              <w:pStyle w:val="29"/>
              <w:bidi w:val="0"/>
              <w:rPr>
                <w:color w:val="auto"/>
              </w:rPr>
            </w:pPr>
          </w:p>
        </w:tc>
        <w:tc>
          <w:tcPr>
            <w:tcW w:w="1011" w:type="dxa"/>
            <w:vMerge w:val="continue"/>
            <w:noWrap w:val="0"/>
            <w:vAlign w:val="center"/>
          </w:tcPr>
          <w:p w14:paraId="18DA6444">
            <w:pPr>
              <w:pStyle w:val="29"/>
              <w:bidi w:val="0"/>
              <w:rPr>
                <w:color w:val="auto"/>
              </w:rPr>
            </w:pPr>
          </w:p>
        </w:tc>
        <w:tc>
          <w:tcPr>
            <w:tcW w:w="1970" w:type="dxa"/>
            <w:noWrap w:val="0"/>
            <w:vAlign w:val="center"/>
          </w:tcPr>
          <w:p w14:paraId="40E79BDC">
            <w:pPr>
              <w:pStyle w:val="29"/>
              <w:bidi w:val="0"/>
              <w:rPr>
                <w:color w:val="auto"/>
              </w:rPr>
            </w:pPr>
            <w:r>
              <w:rPr>
                <w:color w:val="auto"/>
              </w:rPr>
              <w:t>农牧</w:t>
            </w:r>
            <w:r>
              <w:rPr>
                <w:rFonts w:hint="eastAsia"/>
                <w:color w:val="auto"/>
              </w:rPr>
              <w:t>局</w:t>
            </w:r>
          </w:p>
        </w:tc>
        <w:tc>
          <w:tcPr>
            <w:tcW w:w="1515" w:type="dxa"/>
            <w:noWrap w:val="0"/>
            <w:vAlign w:val="center"/>
          </w:tcPr>
          <w:p w14:paraId="622AB42B">
            <w:pPr>
              <w:pStyle w:val="29"/>
              <w:bidi w:val="0"/>
              <w:rPr>
                <w:color w:val="auto"/>
              </w:rPr>
            </w:pPr>
            <w:r>
              <w:rPr>
                <w:color w:val="auto"/>
              </w:rPr>
              <w:t>局长</w:t>
            </w:r>
          </w:p>
        </w:tc>
        <w:tc>
          <w:tcPr>
            <w:tcW w:w="1076" w:type="dxa"/>
            <w:noWrap w:val="0"/>
            <w:vAlign w:val="center"/>
          </w:tcPr>
          <w:p w14:paraId="543E0D54">
            <w:pPr>
              <w:pStyle w:val="29"/>
              <w:bidi w:val="0"/>
              <w:rPr>
                <w:color w:val="auto"/>
              </w:rPr>
            </w:pPr>
            <w:r>
              <w:rPr>
                <w:rFonts w:hint="eastAsia"/>
                <w:color w:val="auto"/>
                <w:lang w:val="en-US" w:eastAsia="zh-CN"/>
              </w:rPr>
              <w:t>齐子群</w:t>
            </w:r>
          </w:p>
        </w:tc>
        <w:tc>
          <w:tcPr>
            <w:tcW w:w="1691" w:type="dxa"/>
            <w:noWrap w:val="0"/>
            <w:vAlign w:val="center"/>
          </w:tcPr>
          <w:p w14:paraId="0A6360D0">
            <w:pPr>
              <w:pStyle w:val="29"/>
              <w:bidi w:val="0"/>
              <w:rPr>
                <w:color w:val="auto"/>
              </w:rPr>
            </w:pPr>
            <w:r>
              <w:rPr>
                <w:rFonts w:hint="eastAsia"/>
                <w:color w:val="auto"/>
                <w:lang w:val="en-US" w:eastAsia="zh-CN"/>
              </w:rPr>
              <w:t>13314705866</w:t>
            </w:r>
          </w:p>
        </w:tc>
      </w:tr>
      <w:tr w14:paraId="051FE4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4DAE22D">
            <w:pPr>
              <w:pStyle w:val="29"/>
              <w:bidi w:val="0"/>
              <w:rPr>
                <w:color w:val="auto"/>
              </w:rPr>
            </w:pPr>
          </w:p>
        </w:tc>
        <w:tc>
          <w:tcPr>
            <w:tcW w:w="1011" w:type="dxa"/>
            <w:vMerge w:val="continue"/>
            <w:noWrap w:val="0"/>
            <w:vAlign w:val="center"/>
          </w:tcPr>
          <w:p w14:paraId="72CCBD46">
            <w:pPr>
              <w:pStyle w:val="29"/>
              <w:bidi w:val="0"/>
              <w:rPr>
                <w:color w:val="auto"/>
              </w:rPr>
            </w:pPr>
          </w:p>
        </w:tc>
        <w:tc>
          <w:tcPr>
            <w:tcW w:w="1970" w:type="dxa"/>
            <w:noWrap w:val="0"/>
            <w:vAlign w:val="center"/>
          </w:tcPr>
          <w:p w14:paraId="054CA6C0">
            <w:pPr>
              <w:pStyle w:val="29"/>
              <w:bidi w:val="0"/>
              <w:rPr>
                <w:color w:val="auto"/>
              </w:rPr>
            </w:pPr>
            <w:r>
              <w:rPr>
                <w:color w:val="auto"/>
              </w:rPr>
              <w:t>水利局</w:t>
            </w:r>
          </w:p>
        </w:tc>
        <w:tc>
          <w:tcPr>
            <w:tcW w:w="1515" w:type="dxa"/>
            <w:noWrap w:val="0"/>
            <w:vAlign w:val="center"/>
          </w:tcPr>
          <w:p w14:paraId="30D5EE28">
            <w:pPr>
              <w:pStyle w:val="29"/>
              <w:bidi w:val="0"/>
              <w:rPr>
                <w:color w:val="auto"/>
              </w:rPr>
            </w:pPr>
            <w:r>
              <w:rPr>
                <w:rFonts w:hint="eastAsia"/>
                <w:color w:val="auto"/>
              </w:rPr>
              <w:t>局长</w:t>
            </w:r>
          </w:p>
        </w:tc>
        <w:tc>
          <w:tcPr>
            <w:tcW w:w="1076" w:type="dxa"/>
            <w:noWrap w:val="0"/>
            <w:vAlign w:val="center"/>
          </w:tcPr>
          <w:p w14:paraId="358F7E1D">
            <w:pPr>
              <w:pStyle w:val="29"/>
              <w:bidi w:val="0"/>
              <w:rPr>
                <w:color w:val="auto"/>
              </w:rPr>
            </w:pPr>
            <w:r>
              <w:rPr>
                <w:rFonts w:hint="eastAsia"/>
                <w:color w:val="auto"/>
                <w:lang w:eastAsia="zh-CN"/>
              </w:rPr>
              <w:t>金</w:t>
            </w:r>
            <w:r>
              <w:rPr>
                <w:rFonts w:hint="eastAsia"/>
                <w:color w:val="auto"/>
                <w:lang w:val="en-US" w:eastAsia="zh-CN"/>
              </w:rPr>
              <w:t xml:space="preserve">  </w:t>
            </w:r>
            <w:r>
              <w:rPr>
                <w:rFonts w:hint="eastAsia"/>
                <w:color w:val="auto"/>
                <w:lang w:eastAsia="zh-CN"/>
              </w:rPr>
              <w:t>军</w:t>
            </w:r>
          </w:p>
        </w:tc>
        <w:tc>
          <w:tcPr>
            <w:tcW w:w="1691" w:type="dxa"/>
            <w:noWrap w:val="0"/>
            <w:vAlign w:val="center"/>
          </w:tcPr>
          <w:p w14:paraId="56193CC1">
            <w:pPr>
              <w:pStyle w:val="29"/>
              <w:bidi w:val="0"/>
              <w:rPr>
                <w:color w:val="auto"/>
              </w:rPr>
            </w:pPr>
            <w:r>
              <w:rPr>
                <w:rFonts w:hint="eastAsia"/>
                <w:color w:val="auto"/>
                <w:lang w:val="en-US" w:eastAsia="zh-CN"/>
              </w:rPr>
              <w:t>15048066777</w:t>
            </w:r>
          </w:p>
        </w:tc>
      </w:tr>
      <w:tr w14:paraId="21AEC4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1259" w:type="dxa"/>
            <w:vMerge w:val="restart"/>
            <w:noWrap w:val="0"/>
            <w:vAlign w:val="center"/>
          </w:tcPr>
          <w:p w14:paraId="2257C6CC">
            <w:pPr>
              <w:pStyle w:val="29"/>
              <w:bidi w:val="0"/>
              <w:rPr>
                <w:color w:val="auto"/>
              </w:rPr>
            </w:pPr>
            <w:r>
              <w:rPr>
                <w:color w:val="auto"/>
              </w:rPr>
              <w:t>应急监测组</w:t>
            </w:r>
          </w:p>
        </w:tc>
        <w:tc>
          <w:tcPr>
            <w:tcW w:w="1011" w:type="dxa"/>
            <w:noWrap w:val="0"/>
            <w:vAlign w:val="center"/>
          </w:tcPr>
          <w:p w14:paraId="0FAFEE8A">
            <w:pPr>
              <w:pStyle w:val="29"/>
              <w:bidi w:val="0"/>
              <w:rPr>
                <w:color w:val="auto"/>
              </w:rPr>
            </w:pPr>
            <w:r>
              <w:rPr>
                <w:color w:val="auto"/>
              </w:rPr>
              <w:t>组长</w:t>
            </w:r>
          </w:p>
        </w:tc>
        <w:tc>
          <w:tcPr>
            <w:tcW w:w="1970" w:type="dxa"/>
            <w:noWrap w:val="0"/>
            <w:vAlign w:val="center"/>
          </w:tcPr>
          <w:p w14:paraId="7B01BD83">
            <w:pPr>
              <w:pStyle w:val="29"/>
              <w:bidi w:val="0"/>
              <w:rPr>
                <w:color w:val="auto"/>
              </w:rPr>
            </w:pPr>
            <w:r>
              <w:rPr>
                <w:rFonts w:hint="eastAsia"/>
                <w:color w:val="auto"/>
              </w:rPr>
              <w:t>生态环境分局</w:t>
            </w:r>
          </w:p>
        </w:tc>
        <w:tc>
          <w:tcPr>
            <w:tcW w:w="1515" w:type="dxa"/>
            <w:noWrap w:val="0"/>
            <w:vAlign w:val="center"/>
          </w:tcPr>
          <w:p w14:paraId="6B5B524E">
            <w:pPr>
              <w:pStyle w:val="29"/>
              <w:bidi w:val="0"/>
              <w:rPr>
                <w:rFonts w:hint="eastAsia"/>
                <w:color w:val="auto"/>
                <w:lang w:eastAsia="zh-Hans"/>
              </w:rPr>
            </w:pPr>
            <w:r>
              <w:rPr>
                <w:rFonts w:hint="eastAsia"/>
                <w:color w:val="auto"/>
              </w:rPr>
              <w:t>副</w:t>
            </w:r>
            <w:r>
              <w:rPr>
                <w:color w:val="auto"/>
              </w:rPr>
              <w:t>局长</w:t>
            </w:r>
          </w:p>
        </w:tc>
        <w:tc>
          <w:tcPr>
            <w:tcW w:w="1076" w:type="dxa"/>
            <w:noWrap w:val="0"/>
            <w:vAlign w:val="center"/>
          </w:tcPr>
          <w:p w14:paraId="4C71B239">
            <w:pPr>
              <w:pStyle w:val="29"/>
              <w:bidi w:val="0"/>
              <w:rPr>
                <w:color w:val="auto"/>
                <w:lang w:eastAsia="zh-Hans"/>
              </w:rPr>
            </w:pPr>
            <w:r>
              <w:rPr>
                <w:rFonts w:hint="eastAsia"/>
                <w:color w:val="auto"/>
                <w:lang w:eastAsia="zh-CN"/>
              </w:rPr>
              <w:t>唐金泉</w:t>
            </w:r>
          </w:p>
        </w:tc>
        <w:tc>
          <w:tcPr>
            <w:tcW w:w="1691" w:type="dxa"/>
            <w:noWrap w:val="0"/>
            <w:vAlign w:val="center"/>
          </w:tcPr>
          <w:p w14:paraId="0089C86C">
            <w:pPr>
              <w:pStyle w:val="29"/>
              <w:bidi w:val="0"/>
              <w:rPr>
                <w:color w:val="auto"/>
              </w:rPr>
            </w:pPr>
            <w:r>
              <w:rPr>
                <w:rFonts w:hint="eastAsia"/>
                <w:color w:val="auto"/>
                <w:lang w:val="en-US" w:eastAsia="zh-CN"/>
              </w:rPr>
              <w:t>18547099984</w:t>
            </w:r>
          </w:p>
        </w:tc>
      </w:tr>
      <w:tr w14:paraId="7E92AD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2CF78123">
            <w:pPr>
              <w:pStyle w:val="29"/>
              <w:bidi w:val="0"/>
              <w:rPr>
                <w:color w:val="auto"/>
              </w:rPr>
            </w:pPr>
          </w:p>
        </w:tc>
        <w:tc>
          <w:tcPr>
            <w:tcW w:w="1011" w:type="dxa"/>
            <w:vMerge w:val="restart"/>
            <w:noWrap w:val="0"/>
            <w:vAlign w:val="center"/>
          </w:tcPr>
          <w:p w14:paraId="52496F94">
            <w:pPr>
              <w:pStyle w:val="29"/>
              <w:bidi w:val="0"/>
              <w:rPr>
                <w:color w:val="auto"/>
              </w:rPr>
            </w:pPr>
            <w:r>
              <w:rPr>
                <w:color w:val="auto"/>
              </w:rPr>
              <w:t>成员</w:t>
            </w:r>
          </w:p>
        </w:tc>
        <w:tc>
          <w:tcPr>
            <w:tcW w:w="1970" w:type="dxa"/>
            <w:noWrap w:val="0"/>
            <w:vAlign w:val="center"/>
          </w:tcPr>
          <w:p w14:paraId="5A651958">
            <w:pPr>
              <w:pStyle w:val="29"/>
              <w:bidi w:val="0"/>
              <w:rPr>
                <w:color w:val="auto"/>
              </w:rPr>
            </w:pPr>
            <w:r>
              <w:rPr>
                <w:color w:val="auto"/>
              </w:rPr>
              <w:t>农牧局</w:t>
            </w:r>
          </w:p>
        </w:tc>
        <w:tc>
          <w:tcPr>
            <w:tcW w:w="1515" w:type="dxa"/>
            <w:noWrap w:val="0"/>
            <w:vAlign w:val="center"/>
          </w:tcPr>
          <w:p w14:paraId="06B549E8">
            <w:pPr>
              <w:pStyle w:val="29"/>
              <w:bidi w:val="0"/>
              <w:rPr>
                <w:color w:val="auto"/>
              </w:rPr>
            </w:pPr>
            <w:r>
              <w:rPr>
                <w:rFonts w:hint="eastAsia"/>
                <w:color w:val="auto"/>
              </w:rPr>
              <w:t>办公室主任</w:t>
            </w:r>
          </w:p>
        </w:tc>
        <w:tc>
          <w:tcPr>
            <w:tcW w:w="1076" w:type="dxa"/>
            <w:noWrap w:val="0"/>
            <w:vAlign w:val="center"/>
          </w:tcPr>
          <w:p w14:paraId="3063B075">
            <w:pPr>
              <w:pStyle w:val="29"/>
              <w:bidi w:val="0"/>
              <w:rPr>
                <w:rFonts w:hint="eastAsia"/>
                <w:color w:val="auto"/>
                <w:lang w:val="en-US" w:eastAsia="zh-CN"/>
              </w:rPr>
            </w:pPr>
            <w:r>
              <w:rPr>
                <w:rFonts w:hint="eastAsia"/>
                <w:color w:val="auto"/>
                <w:lang w:val="en-US" w:eastAsia="zh-CN"/>
              </w:rPr>
              <w:t>吴延波</w:t>
            </w:r>
          </w:p>
        </w:tc>
        <w:tc>
          <w:tcPr>
            <w:tcW w:w="1691" w:type="dxa"/>
            <w:noWrap w:val="0"/>
            <w:vAlign w:val="center"/>
          </w:tcPr>
          <w:p w14:paraId="14B278FD">
            <w:pPr>
              <w:pStyle w:val="29"/>
              <w:bidi w:val="0"/>
              <w:rPr>
                <w:color w:val="auto"/>
              </w:rPr>
            </w:pPr>
            <w:r>
              <w:rPr>
                <w:rFonts w:hint="eastAsia"/>
                <w:color w:val="auto"/>
              </w:rPr>
              <w:t>13347001617</w:t>
            </w:r>
          </w:p>
        </w:tc>
      </w:tr>
      <w:tr w14:paraId="1ABCCD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68431AFE">
            <w:pPr>
              <w:pStyle w:val="29"/>
              <w:bidi w:val="0"/>
              <w:rPr>
                <w:color w:val="auto"/>
              </w:rPr>
            </w:pPr>
          </w:p>
        </w:tc>
        <w:tc>
          <w:tcPr>
            <w:tcW w:w="1011" w:type="dxa"/>
            <w:vMerge w:val="continue"/>
            <w:noWrap w:val="0"/>
            <w:vAlign w:val="center"/>
          </w:tcPr>
          <w:p w14:paraId="2336A3EB">
            <w:pPr>
              <w:pStyle w:val="29"/>
              <w:bidi w:val="0"/>
              <w:rPr>
                <w:color w:val="auto"/>
              </w:rPr>
            </w:pPr>
          </w:p>
        </w:tc>
        <w:tc>
          <w:tcPr>
            <w:tcW w:w="1970" w:type="dxa"/>
            <w:noWrap w:val="0"/>
            <w:vAlign w:val="center"/>
          </w:tcPr>
          <w:p w14:paraId="48F84362">
            <w:pPr>
              <w:pStyle w:val="29"/>
              <w:bidi w:val="0"/>
              <w:rPr>
                <w:color w:val="auto"/>
              </w:rPr>
            </w:pPr>
            <w:r>
              <w:rPr>
                <w:color w:val="auto"/>
              </w:rPr>
              <w:t>水利局</w:t>
            </w:r>
          </w:p>
        </w:tc>
        <w:tc>
          <w:tcPr>
            <w:tcW w:w="1515" w:type="dxa"/>
            <w:noWrap w:val="0"/>
            <w:vAlign w:val="center"/>
          </w:tcPr>
          <w:p w14:paraId="066CEE8A">
            <w:pPr>
              <w:pStyle w:val="29"/>
              <w:bidi w:val="0"/>
              <w:rPr>
                <w:color w:val="auto"/>
              </w:rPr>
            </w:pPr>
            <w:r>
              <w:rPr>
                <w:rFonts w:hint="eastAsia"/>
                <w:color w:val="auto"/>
              </w:rPr>
              <w:t>办公室主任</w:t>
            </w:r>
          </w:p>
        </w:tc>
        <w:tc>
          <w:tcPr>
            <w:tcW w:w="1076" w:type="dxa"/>
            <w:noWrap w:val="0"/>
            <w:vAlign w:val="center"/>
          </w:tcPr>
          <w:p w14:paraId="01F0EC93">
            <w:pPr>
              <w:pStyle w:val="29"/>
              <w:bidi w:val="0"/>
              <w:rPr>
                <w:rFonts w:hint="eastAsia"/>
                <w:color w:val="auto"/>
                <w:lang w:val="en-US" w:eastAsia="zh-CN"/>
              </w:rPr>
            </w:pPr>
            <w:r>
              <w:rPr>
                <w:rFonts w:hint="eastAsia"/>
                <w:color w:val="auto"/>
                <w:lang w:val="en-US" w:eastAsia="zh-CN"/>
              </w:rPr>
              <w:t>赵路遥</w:t>
            </w:r>
          </w:p>
        </w:tc>
        <w:tc>
          <w:tcPr>
            <w:tcW w:w="1691" w:type="dxa"/>
            <w:noWrap w:val="0"/>
            <w:vAlign w:val="center"/>
          </w:tcPr>
          <w:p w14:paraId="3B7B8FE9">
            <w:pPr>
              <w:pStyle w:val="29"/>
              <w:bidi w:val="0"/>
              <w:rPr>
                <w:color w:val="auto"/>
              </w:rPr>
            </w:pPr>
            <w:r>
              <w:rPr>
                <w:rFonts w:hint="eastAsia"/>
                <w:color w:val="auto"/>
              </w:rPr>
              <w:t>15647017535</w:t>
            </w:r>
          </w:p>
        </w:tc>
      </w:tr>
      <w:tr w14:paraId="130B81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69E759FA">
            <w:pPr>
              <w:pStyle w:val="29"/>
              <w:bidi w:val="0"/>
              <w:rPr>
                <w:color w:val="auto"/>
              </w:rPr>
            </w:pPr>
            <w:r>
              <w:rPr>
                <w:color w:val="auto"/>
              </w:rPr>
              <w:t>社会稳定组</w:t>
            </w:r>
          </w:p>
        </w:tc>
        <w:tc>
          <w:tcPr>
            <w:tcW w:w="1011" w:type="dxa"/>
            <w:noWrap w:val="0"/>
            <w:vAlign w:val="center"/>
          </w:tcPr>
          <w:p w14:paraId="71E462DC">
            <w:pPr>
              <w:pStyle w:val="29"/>
              <w:bidi w:val="0"/>
              <w:rPr>
                <w:color w:val="auto"/>
              </w:rPr>
            </w:pPr>
            <w:r>
              <w:rPr>
                <w:color w:val="auto"/>
              </w:rPr>
              <w:t>组长</w:t>
            </w:r>
          </w:p>
        </w:tc>
        <w:tc>
          <w:tcPr>
            <w:tcW w:w="1970" w:type="dxa"/>
            <w:vMerge w:val="restart"/>
            <w:noWrap w:val="0"/>
            <w:vAlign w:val="center"/>
          </w:tcPr>
          <w:p w14:paraId="4ADD4BBE">
            <w:pPr>
              <w:pStyle w:val="29"/>
              <w:bidi w:val="0"/>
              <w:rPr>
                <w:color w:val="auto"/>
              </w:rPr>
            </w:pPr>
            <w:r>
              <w:rPr>
                <w:color w:val="auto"/>
              </w:rPr>
              <w:t>公安局</w:t>
            </w:r>
          </w:p>
        </w:tc>
        <w:tc>
          <w:tcPr>
            <w:tcW w:w="1515" w:type="dxa"/>
            <w:noWrap w:val="0"/>
            <w:vAlign w:val="center"/>
          </w:tcPr>
          <w:p w14:paraId="354890C0">
            <w:pPr>
              <w:pStyle w:val="29"/>
              <w:bidi w:val="0"/>
              <w:rPr>
                <w:color w:val="auto"/>
              </w:rPr>
            </w:pPr>
            <w:r>
              <w:rPr>
                <w:rFonts w:hint="eastAsia"/>
                <w:color w:val="auto"/>
              </w:rPr>
              <w:t>副局长</w:t>
            </w:r>
          </w:p>
        </w:tc>
        <w:tc>
          <w:tcPr>
            <w:tcW w:w="1076" w:type="dxa"/>
            <w:noWrap w:val="0"/>
            <w:vAlign w:val="center"/>
          </w:tcPr>
          <w:p w14:paraId="0E44B890">
            <w:pPr>
              <w:pStyle w:val="29"/>
              <w:bidi w:val="0"/>
              <w:rPr>
                <w:rFonts w:hint="eastAsia"/>
                <w:color w:val="auto"/>
                <w:lang w:val="en-US" w:eastAsia="zh-CN"/>
              </w:rPr>
            </w:pPr>
            <w:r>
              <w:rPr>
                <w:rFonts w:hint="eastAsia"/>
                <w:color w:val="auto"/>
                <w:lang w:val="en-US" w:eastAsia="zh-CN"/>
              </w:rPr>
              <w:t>王伟</w:t>
            </w:r>
          </w:p>
        </w:tc>
        <w:tc>
          <w:tcPr>
            <w:tcW w:w="1691" w:type="dxa"/>
            <w:noWrap w:val="0"/>
            <w:vAlign w:val="center"/>
          </w:tcPr>
          <w:p w14:paraId="24239CE0">
            <w:pPr>
              <w:pStyle w:val="29"/>
              <w:bidi w:val="0"/>
              <w:rPr>
                <w:rFonts w:hint="default"/>
                <w:color w:val="auto"/>
                <w:lang w:val="en-US"/>
              </w:rPr>
            </w:pPr>
            <w:r>
              <w:rPr>
                <w:rFonts w:hint="eastAsia"/>
                <w:color w:val="auto"/>
                <w:lang w:val="en-US" w:eastAsia="zh-CN"/>
              </w:rPr>
              <w:t>13347040833</w:t>
            </w:r>
          </w:p>
        </w:tc>
      </w:tr>
      <w:tr w14:paraId="33A088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1259" w:type="dxa"/>
            <w:vMerge w:val="continue"/>
            <w:noWrap w:val="0"/>
            <w:vAlign w:val="center"/>
          </w:tcPr>
          <w:p w14:paraId="60702476">
            <w:pPr>
              <w:pStyle w:val="29"/>
              <w:bidi w:val="0"/>
              <w:rPr>
                <w:color w:val="auto"/>
              </w:rPr>
            </w:pPr>
          </w:p>
        </w:tc>
        <w:tc>
          <w:tcPr>
            <w:tcW w:w="1011" w:type="dxa"/>
            <w:noWrap w:val="0"/>
            <w:vAlign w:val="center"/>
          </w:tcPr>
          <w:p w14:paraId="1FF2B4E5">
            <w:pPr>
              <w:pStyle w:val="29"/>
              <w:bidi w:val="0"/>
              <w:rPr>
                <w:color w:val="auto"/>
              </w:rPr>
            </w:pPr>
            <w:r>
              <w:rPr>
                <w:color w:val="auto"/>
              </w:rPr>
              <w:t>副组长</w:t>
            </w:r>
          </w:p>
        </w:tc>
        <w:tc>
          <w:tcPr>
            <w:tcW w:w="1970" w:type="dxa"/>
            <w:vMerge w:val="continue"/>
            <w:noWrap w:val="0"/>
            <w:vAlign w:val="center"/>
          </w:tcPr>
          <w:p w14:paraId="297FC3C3">
            <w:pPr>
              <w:pStyle w:val="29"/>
              <w:bidi w:val="0"/>
              <w:rPr>
                <w:color w:val="auto"/>
              </w:rPr>
            </w:pPr>
          </w:p>
        </w:tc>
        <w:tc>
          <w:tcPr>
            <w:tcW w:w="1515" w:type="dxa"/>
            <w:noWrap w:val="0"/>
            <w:vAlign w:val="center"/>
          </w:tcPr>
          <w:p w14:paraId="63B38DEE">
            <w:pPr>
              <w:pStyle w:val="29"/>
              <w:bidi w:val="0"/>
              <w:rPr>
                <w:rFonts w:hint="default"/>
                <w:color w:val="auto"/>
                <w:lang w:val="en-US"/>
              </w:rPr>
            </w:pPr>
            <w:r>
              <w:rPr>
                <w:rFonts w:hint="eastAsia"/>
                <w:color w:val="auto"/>
                <w:lang w:val="en-US" w:eastAsia="zh-CN"/>
              </w:rPr>
              <w:t>治安管理大队</w:t>
            </w:r>
          </w:p>
        </w:tc>
        <w:tc>
          <w:tcPr>
            <w:tcW w:w="1076" w:type="dxa"/>
            <w:noWrap w:val="0"/>
            <w:vAlign w:val="center"/>
          </w:tcPr>
          <w:p w14:paraId="7AF2C046">
            <w:pPr>
              <w:pStyle w:val="29"/>
              <w:bidi w:val="0"/>
              <w:rPr>
                <w:color w:val="auto"/>
              </w:rPr>
            </w:pPr>
            <w:r>
              <w:rPr>
                <w:rFonts w:hint="eastAsia"/>
                <w:color w:val="auto"/>
                <w:lang w:val="en-US" w:eastAsia="zh-CN"/>
              </w:rPr>
              <w:t>段晓晨</w:t>
            </w:r>
          </w:p>
        </w:tc>
        <w:tc>
          <w:tcPr>
            <w:tcW w:w="1691" w:type="dxa"/>
            <w:shd w:val="clear" w:color="auto" w:fill="auto"/>
            <w:noWrap w:val="0"/>
            <w:vAlign w:val="center"/>
          </w:tcPr>
          <w:p w14:paraId="4277FF9C">
            <w:pPr>
              <w:pStyle w:val="29"/>
              <w:bidi w:val="0"/>
              <w:rPr>
                <w:rFonts w:hint="default"/>
                <w:color w:val="auto"/>
                <w:lang w:val="en-US" w:eastAsia="zh-CN"/>
              </w:rPr>
            </w:pPr>
            <w:r>
              <w:rPr>
                <w:rFonts w:hint="eastAsia"/>
                <w:color w:val="auto"/>
                <w:lang w:val="en-US" w:eastAsia="zh-CN"/>
              </w:rPr>
              <w:t>13948405508</w:t>
            </w:r>
          </w:p>
        </w:tc>
      </w:tr>
      <w:tr w14:paraId="03C444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2E6D0163">
            <w:pPr>
              <w:pStyle w:val="29"/>
              <w:bidi w:val="0"/>
              <w:rPr>
                <w:color w:val="auto"/>
              </w:rPr>
            </w:pPr>
            <w:r>
              <w:rPr>
                <w:color w:val="auto"/>
              </w:rPr>
              <w:t>应急保障组</w:t>
            </w:r>
          </w:p>
        </w:tc>
        <w:tc>
          <w:tcPr>
            <w:tcW w:w="1011" w:type="dxa"/>
            <w:noWrap w:val="0"/>
            <w:vAlign w:val="center"/>
          </w:tcPr>
          <w:p w14:paraId="7A364A4F">
            <w:pPr>
              <w:pStyle w:val="29"/>
              <w:bidi w:val="0"/>
              <w:rPr>
                <w:color w:val="auto"/>
              </w:rPr>
            </w:pPr>
            <w:r>
              <w:rPr>
                <w:color w:val="auto"/>
              </w:rPr>
              <w:t>组长</w:t>
            </w:r>
          </w:p>
        </w:tc>
        <w:tc>
          <w:tcPr>
            <w:tcW w:w="1970" w:type="dxa"/>
            <w:noWrap w:val="0"/>
            <w:vAlign w:val="center"/>
          </w:tcPr>
          <w:p w14:paraId="7620E529">
            <w:pPr>
              <w:pStyle w:val="29"/>
              <w:bidi w:val="0"/>
              <w:rPr>
                <w:color w:val="auto"/>
              </w:rPr>
            </w:pPr>
            <w:r>
              <w:rPr>
                <w:color w:val="auto"/>
              </w:rPr>
              <w:t>人民政府</w:t>
            </w:r>
          </w:p>
        </w:tc>
        <w:tc>
          <w:tcPr>
            <w:tcW w:w="1515" w:type="dxa"/>
            <w:noWrap w:val="0"/>
            <w:vAlign w:val="center"/>
          </w:tcPr>
          <w:p w14:paraId="28B5371C">
            <w:pPr>
              <w:pStyle w:val="29"/>
              <w:bidi w:val="0"/>
              <w:rPr>
                <w:color w:val="auto"/>
              </w:rPr>
            </w:pPr>
            <w:r>
              <w:rPr>
                <w:color w:val="auto"/>
              </w:rPr>
              <w:t>办公室主任</w:t>
            </w:r>
          </w:p>
        </w:tc>
        <w:tc>
          <w:tcPr>
            <w:tcW w:w="1076" w:type="dxa"/>
            <w:noWrap w:val="0"/>
            <w:vAlign w:val="center"/>
          </w:tcPr>
          <w:p w14:paraId="6570DA04">
            <w:pPr>
              <w:pStyle w:val="29"/>
              <w:bidi w:val="0"/>
              <w:rPr>
                <w:color w:val="auto"/>
              </w:rPr>
            </w:pPr>
            <w:r>
              <w:rPr>
                <w:rFonts w:hint="eastAsia"/>
                <w:color w:val="auto"/>
                <w:lang w:eastAsia="zh-CN"/>
              </w:rPr>
              <w:t>胥继良</w:t>
            </w:r>
          </w:p>
        </w:tc>
        <w:tc>
          <w:tcPr>
            <w:tcW w:w="1691" w:type="dxa"/>
            <w:noWrap w:val="0"/>
            <w:vAlign w:val="center"/>
          </w:tcPr>
          <w:p w14:paraId="6842D3FC">
            <w:pPr>
              <w:pStyle w:val="29"/>
              <w:bidi w:val="0"/>
              <w:rPr>
                <w:color w:val="auto"/>
              </w:rPr>
            </w:pPr>
          </w:p>
        </w:tc>
      </w:tr>
      <w:tr w14:paraId="2A7E4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D326E68">
            <w:pPr>
              <w:pStyle w:val="29"/>
              <w:bidi w:val="0"/>
              <w:rPr>
                <w:color w:val="auto"/>
              </w:rPr>
            </w:pPr>
          </w:p>
        </w:tc>
        <w:tc>
          <w:tcPr>
            <w:tcW w:w="1011" w:type="dxa"/>
            <w:noWrap w:val="0"/>
            <w:vAlign w:val="center"/>
          </w:tcPr>
          <w:p w14:paraId="069ED4B6">
            <w:pPr>
              <w:pStyle w:val="29"/>
              <w:bidi w:val="0"/>
              <w:rPr>
                <w:color w:val="auto"/>
              </w:rPr>
            </w:pPr>
            <w:r>
              <w:rPr>
                <w:color w:val="auto"/>
              </w:rPr>
              <w:t>副组长</w:t>
            </w:r>
          </w:p>
        </w:tc>
        <w:tc>
          <w:tcPr>
            <w:tcW w:w="1970" w:type="dxa"/>
            <w:noWrap w:val="0"/>
            <w:vAlign w:val="center"/>
          </w:tcPr>
          <w:p w14:paraId="2692559B">
            <w:pPr>
              <w:pStyle w:val="29"/>
              <w:bidi w:val="0"/>
              <w:rPr>
                <w:color w:val="auto"/>
              </w:rPr>
            </w:pPr>
            <w:r>
              <w:rPr>
                <w:color w:val="auto"/>
              </w:rPr>
              <w:t>财政局</w:t>
            </w:r>
          </w:p>
        </w:tc>
        <w:tc>
          <w:tcPr>
            <w:tcW w:w="1515" w:type="dxa"/>
            <w:noWrap w:val="0"/>
            <w:vAlign w:val="center"/>
          </w:tcPr>
          <w:p w14:paraId="75108AF1">
            <w:pPr>
              <w:pStyle w:val="29"/>
              <w:bidi w:val="0"/>
              <w:rPr>
                <w:color w:val="auto"/>
              </w:rPr>
            </w:pPr>
            <w:r>
              <w:rPr>
                <w:color w:val="auto"/>
              </w:rPr>
              <w:t>局长</w:t>
            </w:r>
          </w:p>
        </w:tc>
        <w:tc>
          <w:tcPr>
            <w:tcW w:w="1076" w:type="dxa"/>
            <w:shd w:val="clear" w:color="auto" w:fill="auto"/>
            <w:noWrap w:val="0"/>
            <w:vAlign w:val="center"/>
          </w:tcPr>
          <w:p w14:paraId="20BDB359">
            <w:pPr>
              <w:pStyle w:val="29"/>
              <w:bidi w:val="0"/>
              <w:rPr>
                <w:color w:val="auto"/>
                <w:lang w:val="en-US" w:eastAsia="zh-CN"/>
              </w:rPr>
            </w:pPr>
            <w:r>
              <w:rPr>
                <w:rFonts w:hint="eastAsia"/>
                <w:color w:val="auto"/>
                <w:lang w:val="en-US" w:eastAsia="zh-CN"/>
              </w:rPr>
              <w:t>王宏江</w:t>
            </w:r>
          </w:p>
        </w:tc>
        <w:tc>
          <w:tcPr>
            <w:tcW w:w="1691" w:type="dxa"/>
            <w:shd w:val="clear" w:color="auto" w:fill="auto"/>
            <w:noWrap w:val="0"/>
            <w:vAlign w:val="center"/>
          </w:tcPr>
          <w:p w14:paraId="3A90A1F8">
            <w:pPr>
              <w:pStyle w:val="29"/>
              <w:bidi w:val="0"/>
              <w:rPr>
                <w:color w:val="auto"/>
                <w:lang w:val="en-US" w:eastAsia="zh-CN"/>
              </w:rPr>
            </w:pPr>
            <w:r>
              <w:rPr>
                <w:rFonts w:hint="eastAsia"/>
                <w:color w:val="auto"/>
                <w:lang w:val="en-US" w:eastAsia="zh-CN"/>
              </w:rPr>
              <w:t>15847029555</w:t>
            </w:r>
          </w:p>
        </w:tc>
      </w:tr>
      <w:tr w14:paraId="639017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1F43A4FD">
            <w:pPr>
              <w:pStyle w:val="29"/>
              <w:bidi w:val="0"/>
              <w:rPr>
                <w:color w:val="auto"/>
              </w:rPr>
            </w:pPr>
          </w:p>
        </w:tc>
        <w:tc>
          <w:tcPr>
            <w:tcW w:w="1011" w:type="dxa"/>
            <w:noWrap w:val="0"/>
            <w:vAlign w:val="center"/>
          </w:tcPr>
          <w:p w14:paraId="3A17968C">
            <w:pPr>
              <w:pStyle w:val="29"/>
              <w:bidi w:val="0"/>
              <w:rPr>
                <w:color w:val="auto"/>
              </w:rPr>
            </w:pPr>
            <w:r>
              <w:rPr>
                <w:color w:val="auto"/>
              </w:rPr>
              <w:t>成员</w:t>
            </w:r>
          </w:p>
        </w:tc>
        <w:tc>
          <w:tcPr>
            <w:tcW w:w="1970" w:type="dxa"/>
            <w:noWrap w:val="0"/>
            <w:vAlign w:val="center"/>
          </w:tcPr>
          <w:p w14:paraId="759D6AB4">
            <w:pPr>
              <w:pStyle w:val="29"/>
              <w:bidi w:val="0"/>
              <w:rPr>
                <w:color w:val="auto"/>
              </w:rPr>
            </w:pPr>
            <w:r>
              <w:rPr>
                <w:color w:val="auto"/>
              </w:rPr>
              <w:t>发展改革委</w:t>
            </w:r>
          </w:p>
        </w:tc>
        <w:tc>
          <w:tcPr>
            <w:tcW w:w="1515" w:type="dxa"/>
            <w:noWrap w:val="0"/>
            <w:vAlign w:val="center"/>
          </w:tcPr>
          <w:p w14:paraId="1F9372F3">
            <w:pPr>
              <w:pStyle w:val="29"/>
              <w:bidi w:val="0"/>
              <w:rPr>
                <w:color w:val="auto"/>
              </w:rPr>
            </w:pPr>
            <w:r>
              <w:rPr>
                <w:color w:val="auto"/>
              </w:rPr>
              <w:t>主任</w:t>
            </w:r>
          </w:p>
        </w:tc>
        <w:tc>
          <w:tcPr>
            <w:tcW w:w="1076" w:type="dxa"/>
            <w:noWrap w:val="0"/>
            <w:vAlign w:val="center"/>
          </w:tcPr>
          <w:p w14:paraId="3C691DF1">
            <w:pPr>
              <w:pStyle w:val="29"/>
              <w:bidi w:val="0"/>
              <w:rPr>
                <w:color w:val="auto"/>
              </w:rPr>
            </w:pPr>
            <w:r>
              <w:rPr>
                <w:rFonts w:hint="eastAsia"/>
                <w:color w:val="auto"/>
                <w:lang w:eastAsia="zh-CN"/>
              </w:rPr>
              <w:t>辛群泰</w:t>
            </w:r>
          </w:p>
        </w:tc>
        <w:tc>
          <w:tcPr>
            <w:tcW w:w="1691" w:type="dxa"/>
            <w:shd w:val="clear" w:color="auto" w:fill="auto"/>
            <w:noWrap w:val="0"/>
            <w:vAlign w:val="center"/>
          </w:tcPr>
          <w:p w14:paraId="6B69BC90">
            <w:pPr>
              <w:pStyle w:val="29"/>
              <w:bidi w:val="0"/>
              <w:rPr>
                <w:rFonts w:hint="default"/>
                <w:color w:val="auto"/>
                <w:lang w:val="en-US" w:eastAsia="zh-CN"/>
              </w:rPr>
            </w:pPr>
            <w:r>
              <w:rPr>
                <w:rFonts w:hint="eastAsia"/>
                <w:color w:val="auto"/>
                <w:lang w:val="en-US" w:eastAsia="zh-CN"/>
              </w:rPr>
              <w:t>15547007777</w:t>
            </w:r>
          </w:p>
        </w:tc>
      </w:tr>
      <w:tr w14:paraId="272DF6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1259" w:type="dxa"/>
            <w:vMerge w:val="continue"/>
            <w:noWrap w:val="0"/>
            <w:vAlign w:val="center"/>
          </w:tcPr>
          <w:p w14:paraId="3182CA57">
            <w:pPr>
              <w:pStyle w:val="29"/>
              <w:bidi w:val="0"/>
              <w:rPr>
                <w:color w:val="auto"/>
              </w:rPr>
            </w:pPr>
          </w:p>
        </w:tc>
        <w:tc>
          <w:tcPr>
            <w:tcW w:w="1011" w:type="dxa"/>
            <w:noWrap w:val="0"/>
            <w:vAlign w:val="center"/>
          </w:tcPr>
          <w:p w14:paraId="6EF28817">
            <w:pPr>
              <w:pStyle w:val="29"/>
              <w:bidi w:val="0"/>
              <w:rPr>
                <w:color w:val="auto"/>
              </w:rPr>
            </w:pPr>
            <w:r>
              <w:rPr>
                <w:color w:val="auto"/>
              </w:rPr>
              <w:t>成员</w:t>
            </w:r>
          </w:p>
        </w:tc>
        <w:tc>
          <w:tcPr>
            <w:tcW w:w="1970" w:type="dxa"/>
            <w:noWrap w:val="0"/>
            <w:vAlign w:val="center"/>
          </w:tcPr>
          <w:p w14:paraId="1AC2FBE4">
            <w:pPr>
              <w:pStyle w:val="29"/>
              <w:bidi w:val="0"/>
              <w:rPr>
                <w:color w:val="auto"/>
              </w:rPr>
            </w:pPr>
            <w:r>
              <w:rPr>
                <w:color w:val="auto"/>
              </w:rPr>
              <w:t>工业和信息化局</w:t>
            </w:r>
          </w:p>
        </w:tc>
        <w:tc>
          <w:tcPr>
            <w:tcW w:w="1515" w:type="dxa"/>
            <w:noWrap w:val="0"/>
            <w:vAlign w:val="center"/>
          </w:tcPr>
          <w:p w14:paraId="0E6F7495">
            <w:pPr>
              <w:pStyle w:val="29"/>
              <w:bidi w:val="0"/>
              <w:rPr>
                <w:color w:val="auto"/>
              </w:rPr>
            </w:pPr>
            <w:r>
              <w:rPr>
                <w:color w:val="auto"/>
              </w:rPr>
              <w:t>局长</w:t>
            </w:r>
          </w:p>
        </w:tc>
        <w:tc>
          <w:tcPr>
            <w:tcW w:w="1076" w:type="dxa"/>
            <w:noWrap w:val="0"/>
            <w:vAlign w:val="center"/>
          </w:tcPr>
          <w:p w14:paraId="2F1D19F3">
            <w:pPr>
              <w:pStyle w:val="29"/>
              <w:bidi w:val="0"/>
              <w:rPr>
                <w:color w:val="auto"/>
              </w:rPr>
            </w:pPr>
            <w:r>
              <w:rPr>
                <w:rFonts w:hint="eastAsia"/>
                <w:color w:val="auto"/>
                <w:lang w:val="en-US" w:eastAsia="zh-CN"/>
              </w:rPr>
              <w:t>刘国财</w:t>
            </w:r>
          </w:p>
        </w:tc>
        <w:tc>
          <w:tcPr>
            <w:tcW w:w="1691" w:type="dxa"/>
            <w:noWrap w:val="0"/>
            <w:vAlign w:val="center"/>
          </w:tcPr>
          <w:p w14:paraId="78DBA749">
            <w:pPr>
              <w:pStyle w:val="29"/>
              <w:bidi w:val="0"/>
              <w:rPr>
                <w:color w:val="auto"/>
              </w:rPr>
            </w:pPr>
            <w:r>
              <w:rPr>
                <w:rFonts w:hint="eastAsia"/>
                <w:color w:val="auto"/>
                <w:lang w:val="en-US" w:eastAsia="zh-CN"/>
              </w:rPr>
              <w:t>15335602277</w:t>
            </w:r>
          </w:p>
        </w:tc>
      </w:tr>
      <w:tr w14:paraId="3F159C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B16411E">
            <w:pPr>
              <w:pStyle w:val="29"/>
              <w:bidi w:val="0"/>
              <w:rPr>
                <w:color w:val="auto"/>
              </w:rPr>
            </w:pPr>
          </w:p>
        </w:tc>
        <w:tc>
          <w:tcPr>
            <w:tcW w:w="1011" w:type="dxa"/>
            <w:noWrap w:val="0"/>
            <w:vAlign w:val="center"/>
          </w:tcPr>
          <w:p w14:paraId="6A6B9266">
            <w:pPr>
              <w:pStyle w:val="29"/>
              <w:bidi w:val="0"/>
              <w:rPr>
                <w:color w:val="auto"/>
              </w:rPr>
            </w:pPr>
            <w:r>
              <w:rPr>
                <w:color w:val="auto"/>
              </w:rPr>
              <w:t>成员</w:t>
            </w:r>
          </w:p>
        </w:tc>
        <w:tc>
          <w:tcPr>
            <w:tcW w:w="1970" w:type="dxa"/>
            <w:noWrap w:val="0"/>
            <w:vAlign w:val="center"/>
          </w:tcPr>
          <w:p w14:paraId="1869DD13">
            <w:pPr>
              <w:pStyle w:val="29"/>
              <w:bidi w:val="0"/>
              <w:rPr>
                <w:color w:val="auto"/>
              </w:rPr>
            </w:pPr>
            <w:r>
              <w:rPr>
                <w:color w:val="auto"/>
              </w:rPr>
              <w:t>民政局</w:t>
            </w:r>
          </w:p>
        </w:tc>
        <w:tc>
          <w:tcPr>
            <w:tcW w:w="1515" w:type="dxa"/>
            <w:noWrap w:val="0"/>
            <w:vAlign w:val="center"/>
          </w:tcPr>
          <w:p w14:paraId="7B12D565">
            <w:pPr>
              <w:pStyle w:val="29"/>
              <w:bidi w:val="0"/>
              <w:rPr>
                <w:color w:val="auto"/>
              </w:rPr>
            </w:pPr>
            <w:r>
              <w:rPr>
                <w:color w:val="auto"/>
              </w:rPr>
              <w:t>局长</w:t>
            </w:r>
          </w:p>
        </w:tc>
        <w:tc>
          <w:tcPr>
            <w:tcW w:w="1076" w:type="dxa"/>
            <w:noWrap w:val="0"/>
            <w:vAlign w:val="center"/>
          </w:tcPr>
          <w:p w14:paraId="3A6B4876">
            <w:pPr>
              <w:pStyle w:val="29"/>
              <w:bidi w:val="0"/>
              <w:rPr>
                <w:color w:val="auto"/>
              </w:rPr>
            </w:pPr>
            <w:r>
              <w:rPr>
                <w:rFonts w:hint="eastAsia"/>
                <w:color w:val="auto"/>
                <w:lang w:val="en-US" w:eastAsia="zh-CN"/>
              </w:rPr>
              <w:t>刘爱兵</w:t>
            </w:r>
          </w:p>
        </w:tc>
        <w:tc>
          <w:tcPr>
            <w:tcW w:w="1691" w:type="dxa"/>
            <w:noWrap w:val="0"/>
            <w:vAlign w:val="center"/>
          </w:tcPr>
          <w:p w14:paraId="121ABB60">
            <w:pPr>
              <w:pStyle w:val="29"/>
              <w:bidi w:val="0"/>
              <w:rPr>
                <w:color w:val="auto"/>
              </w:rPr>
            </w:pPr>
            <w:r>
              <w:rPr>
                <w:rFonts w:hint="eastAsia"/>
                <w:color w:val="auto"/>
                <w:lang w:val="en-US" w:eastAsia="zh-CN"/>
              </w:rPr>
              <w:t>13347009817</w:t>
            </w:r>
          </w:p>
        </w:tc>
      </w:tr>
      <w:tr w14:paraId="43F841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43E285C9">
            <w:pPr>
              <w:pStyle w:val="29"/>
              <w:bidi w:val="0"/>
              <w:rPr>
                <w:color w:val="auto"/>
              </w:rPr>
            </w:pPr>
          </w:p>
        </w:tc>
        <w:tc>
          <w:tcPr>
            <w:tcW w:w="1011" w:type="dxa"/>
            <w:noWrap w:val="0"/>
            <w:vAlign w:val="center"/>
          </w:tcPr>
          <w:p w14:paraId="79FFD696">
            <w:pPr>
              <w:pStyle w:val="29"/>
              <w:bidi w:val="0"/>
              <w:rPr>
                <w:color w:val="auto"/>
              </w:rPr>
            </w:pPr>
            <w:r>
              <w:rPr>
                <w:color w:val="auto"/>
              </w:rPr>
              <w:t>成员</w:t>
            </w:r>
          </w:p>
        </w:tc>
        <w:tc>
          <w:tcPr>
            <w:tcW w:w="1970" w:type="dxa"/>
            <w:noWrap w:val="0"/>
            <w:vAlign w:val="center"/>
          </w:tcPr>
          <w:p w14:paraId="35EBB361">
            <w:pPr>
              <w:pStyle w:val="29"/>
              <w:bidi w:val="0"/>
              <w:rPr>
                <w:color w:val="auto"/>
              </w:rPr>
            </w:pPr>
            <w:r>
              <w:rPr>
                <w:color w:val="auto"/>
              </w:rPr>
              <w:t>住房</w:t>
            </w:r>
            <w:r>
              <w:rPr>
                <w:rFonts w:hint="eastAsia"/>
                <w:color w:val="auto"/>
              </w:rPr>
              <w:t>和</w:t>
            </w:r>
            <w:r>
              <w:rPr>
                <w:color w:val="auto"/>
              </w:rPr>
              <w:t>城乡建设局</w:t>
            </w:r>
          </w:p>
        </w:tc>
        <w:tc>
          <w:tcPr>
            <w:tcW w:w="1515" w:type="dxa"/>
            <w:noWrap w:val="0"/>
            <w:vAlign w:val="center"/>
          </w:tcPr>
          <w:p w14:paraId="4356CE2A">
            <w:pPr>
              <w:pStyle w:val="29"/>
              <w:bidi w:val="0"/>
              <w:rPr>
                <w:color w:val="auto"/>
              </w:rPr>
            </w:pPr>
            <w:r>
              <w:rPr>
                <w:color w:val="auto"/>
              </w:rPr>
              <w:t>局长</w:t>
            </w:r>
          </w:p>
        </w:tc>
        <w:tc>
          <w:tcPr>
            <w:tcW w:w="1076" w:type="dxa"/>
            <w:noWrap w:val="0"/>
            <w:vAlign w:val="center"/>
          </w:tcPr>
          <w:p w14:paraId="62B7CA76">
            <w:pPr>
              <w:pStyle w:val="29"/>
              <w:bidi w:val="0"/>
              <w:rPr>
                <w:color w:val="auto"/>
              </w:rPr>
            </w:pPr>
            <w:r>
              <w:rPr>
                <w:rFonts w:hint="eastAsia"/>
                <w:color w:val="auto"/>
                <w:lang w:val="en-US" w:eastAsia="zh-CN"/>
              </w:rPr>
              <w:t>张金武</w:t>
            </w:r>
          </w:p>
        </w:tc>
        <w:tc>
          <w:tcPr>
            <w:tcW w:w="1691" w:type="dxa"/>
            <w:noWrap w:val="0"/>
            <w:vAlign w:val="center"/>
          </w:tcPr>
          <w:p w14:paraId="2AA06B4F">
            <w:pPr>
              <w:pStyle w:val="29"/>
              <w:bidi w:val="0"/>
              <w:rPr>
                <w:color w:val="auto"/>
              </w:rPr>
            </w:pPr>
            <w:r>
              <w:rPr>
                <w:rFonts w:hint="eastAsia"/>
                <w:color w:val="auto"/>
                <w:lang w:val="en-US" w:eastAsia="zh-CN"/>
              </w:rPr>
              <w:t>15104937999</w:t>
            </w:r>
          </w:p>
        </w:tc>
      </w:tr>
      <w:tr w14:paraId="6BCD8E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3A2640D5">
            <w:pPr>
              <w:pStyle w:val="29"/>
              <w:bidi w:val="0"/>
              <w:rPr>
                <w:color w:val="auto"/>
              </w:rPr>
            </w:pPr>
          </w:p>
        </w:tc>
        <w:tc>
          <w:tcPr>
            <w:tcW w:w="1011" w:type="dxa"/>
            <w:noWrap w:val="0"/>
            <w:vAlign w:val="center"/>
          </w:tcPr>
          <w:p w14:paraId="444C1A51">
            <w:pPr>
              <w:pStyle w:val="29"/>
              <w:bidi w:val="0"/>
              <w:rPr>
                <w:color w:val="auto"/>
              </w:rPr>
            </w:pPr>
            <w:r>
              <w:rPr>
                <w:color w:val="auto"/>
              </w:rPr>
              <w:t>成员</w:t>
            </w:r>
          </w:p>
        </w:tc>
        <w:tc>
          <w:tcPr>
            <w:tcW w:w="1970" w:type="dxa"/>
            <w:noWrap w:val="0"/>
            <w:vAlign w:val="center"/>
          </w:tcPr>
          <w:p w14:paraId="4688FA0E">
            <w:pPr>
              <w:pStyle w:val="29"/>
              <w:bidi w:val="0"/>
              <w:rPr>
                <w:color w:val="auto"/>
              </w:rPr>
            </w:pPr>
            <w:r>
              <w:rPr>
                <w:color w:val="auto"/>
              </w:rPr>
              <w:t>交通运输局</w:t>
            </w:r>
          </w:p>
        </w:tc>
        <w:tc>
          <w:tcPr>
            <w:tcW w:w="1515" w:type="dxa"/>
            <w:noWrap w:val="0"/>
            <w:vAlign w:val="center"/>
          </w:tcPr>
          <w:p w14:paraId="792ED555">
            <w:pPr>
              <w:pStyle w:val="29"/>
              <w:bidi w:val="0"/>
              <w:rPr>
                <w:color w:val="auto"/>
              </w:rPr>
            </w:pPr>
            <w:r>
              <w:rPr>
                <w:color w:val="auto"/>
              </w:rPr>
              <w:t>局长</w:t>
            </w:r>
          </w:p>
        </w:tc>
        <w:tc>
          <w:tcPr>
            <w:tcW w:w="1076" w:type="dxa"/>
            <w:noWrap w:val="0"/>
            <w:vAlign w:val="center"/>
          </w:tcPr>
          <w:p w14:paraId="0E9BAB46">
            <w:pPr>
              <w:pStyle w:val="29"/>
              <w:bidi w:val="0"/>
              <w:rPr>
                <w:color w:val="auto"/>
              </w:rPr>
            </w:pPr>
            <w:r>
              <w:rPr>
                <w:rFonts w:hint="eastAsia"/>
                <w:color w:val="auto"/>
                <w:lang w:val="en-US" w:eastAsia="zh-CN"/>
              </w:rPr>
              <w:t>李树崴</w:t>
            </w:r>
          </w:p>
        </w:tc>
        <w:tc>
          <w:tcPr>
            <w:tcW w:w="1691" w:type="dxa"/>
            <w:noWrap w:val="0"/>
            <w:vAlign w:val="center"/>
          </w:tcPr>
          <w:p w14:paraId="42C3C06E">
            <w:pPr>
              <w:pStyle w:val="29"/>
              <w:bidi w:val="0"/>
              <w:rPr>
                <w:color w:val="auto"/>
              </w:rPr>
            </w:pPr>
            <w:r>
              <w:rPr>
                <w:rFonts w:hint="eastAsia"/>
                <w:color w:val="auto"/>
                <w:lang w:val="en-US" w:eastAsia="zh-CN"/>
              </w:rPr>
              <w:t>13847033000</w:t>
            </w:r>
          </w:p>
        </w:tc>
      </w:tr>
      <w:tr w14:paraId="1373A6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1259" w:type="dxa"/>
            <w:vMerge w:val="restart"/>
            <w:noWrap w:val="0"/>
            <w:vAlign w:val="center"/>
          </w:tcPr>
          <w:p w14:paraId="4FD01C6D">
            <w:pPr>
              <w:pStyle w:val="29"/>
              <w:bidi w:val="0"/>
              <w:rPr>
                <w:color w:val="auto"/>
              </w:rPr>
            </w:pPr>
            <w:r>
              <w:rPr>
                <w:color w:val="auto"/>
              </w:rPr>
              <w:t>医疗救护组</w:t>
            </w:r>
          </w:p>
        </w:tc>
        <w:tc>
          <w:tcPr>
            <w:tcW w:w="1011" w:type="dxa"/>
            <w:noWrap w:val="0"/>
            <w:vAlign w:val="center"/>
          </w:tcPr>
          <w:p w14:paraId="645C2414">
            <w:pPr>
              <w:pStyle w:val="29"/>
              <w:bidi w:val="0"/>
              <w:rPr>
                <w:color w:val="auto"/>
              </w:rPr>
            </w:pPr>
            <w:r>
              <w:rPr>
                <w:color w:val="auto"/>
              </w:rPr>
              <w:t>组长</w:t>
            </w:r>
          </w:p>
        </w:tc>
        <w:tc>
          <w:tcPr>
            <w:tcW w:w="1970" w:type="dxa"/>
            <w:noWrap w:val="0"/>
            <w:vAlign w:val="center"/>
          </w:tcPr>
          <w:p w14:paraId="3FF5EA55">
            <w:pPr>
              <w:pStyle w:val="29"/>
              <w:bidi w:val="0"/>
              <w:rPr>
                <w:color w:val="auto"/>
              </w:rPr>
            </w:pPr>
            <w:r>
              <w:rPr>
                <w:color w:val="auto"/>
              </w:rPr>
              <w:t>卫生健康委员会</w:t>
            </w:r>
          </w:p>
        </w:tc>
        <w:tc>
          <w:tcPr>
            <w:tcW w:w="1515" w:type="dxa"/>
            <w:noWrap w:val="0"/>
            <w:vAlign w:val="center"/>
          </w:tcPr>
          <w:p w14:paraId="15A81C33">
            <w:pPr>
              <w:pStyle w:val="29"/>
              <w:bidi w:val="0"/>
              <w:rPr>
                <w:color w:val="auto"/>
              </w:rPr>
            </w:pPr>
            <w:r>
              <w:rPr>
                <w:rFonts w:hint="eastAsia"/>
                <w:color w:val="auto"/>
                <w:lang w:val="en-US" w:eastAsia="zh-CN"/>
              </w:rPr>
              <w:t>主任</w:t>
            </w:r>
          </w:p>
        </w:tc>
        <w:tc>
          <w:tcPr>
            <w:tcW w:w="1076" w:type="dxa"/>
            <w:noWrap w:val="0"/>
            <w:vAlign w:val="top"/>
          </w:tcPr>
          <w:p w14:paraId="0E2967FD">
            <w:pPr>
              <w:pStyle w:val="29"/>
              <w:bidi w:val="0"/>
              <w:rPr>
                <w:color w:val="auto"/>
              </w:rPr>
            </w:pPr>
            <w:r>
              <w:rPr>
                <w:rFonts w:hint="eastAsia"/>
                <w:color w:val="auto"/>
                <w:lang w:val="en-US" w:eastAsia="zh-CN"/>
              </w:rPr>
              <w:t>赵鸿海</w:t>
            </w:r>
          </w:p>
        </w:tc>
        <w:tc>
          <w:tcPr>
            <w:tcW w:w="1691" w:type="dxa"/>
            <w:noWrap w:val="0"/>
            <w:vAlign w:val="top"/>
          </w:tcPr>
          <w:p w14:paraId="38E9A86C">
            <w:pPr>
              <w:pStyle w:val="29"/>
              <w:bidi w:val="0"/>
              <w:rPr>
                <w:color w:val="auto"/>
              </w:rPr>
            </w:pPr>
            <w:r>
              <w:rPr>
                <w:rFonts w:hint="eastAsia"/>
                <w:color w:val="auto"/>
                <w:lang w:val="en-US" w:eastAsia="zh-CN"/>
              </w:rPr>
              <w:t>13947052868</w:t>
            </w:r>
          </w:p>
        </w:tc>
      </w:tr>
      <w:tr w14:paraId="41228A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08A82867">
            <w:pPr>
              <w:pStyle w:val="29"/>
              <w:bidi w:val="0"/>
              <w:rPr>
                <w:color w:val="auto"/>
              </w:rPr>
            </w:pPr>
          </w:p>
        </w:tc>
        <w:tc>
          <w:tcPr>
            <w:tcW w:w="1011" w:type="dxa"/>
            <w:noWrap w:val="0"/>
            <w:vAlign w:val="center"/>
          </w:tcPr>
          <w:p w14:paraId="15B80448">
            <w:pPr>
              <w:pStyle w:val="29"/>
              <w:bidi w:val="0"/>
              <w:rPr>
                <w:color w:val="auto"/>
              </w:rPr>
            </w:pPr>
            <w:r>
              <w:rPr>
                <w:color w:val="auto"/>
              </w:rPr>
              <w:t>副组长</w:t>
            </w:r>
          </w:p>
        </w:tc>
        <w:tc>
          <w:tcPr>
            <w:tcW w:w="1970" w:type="dxa"/>
            <w:noWrap w:val="0"/>
            <w:vAlign w:val="center"/>
          </w:tcPr>
          <w:p w14:paraId="4F31CA5B">
            <w:pPr>
              <w:pStyle w:val="29"/>
              <w:bidi w:val="0"/>
              <w:rPr>
                <w:color w:val="auto"/>
              </w:rPr>
            </w:pPr>
            <w:r>
              <w:rPr>
                <w:color w:val="auto"/>
              </w:rPr>
              <w:t>卫生健康委员会</w:t>
            </w:r>
          </w:p>
        </w:tc>
        <w:tc>
          <w:tcPr>
            <w:tcW w:w="1515" w:type="dxa"/>
            <w:noWrap w:val="0"/>
            <w:vAlign w:val="center"/>
          </w:tcPr>
          <w:p w14:paraId="4EC9E49C">
            <w:pPr>
              <w:pStyle w:val="29"/>
              <w:bidi w:val="0"/>
              <w:rPr>
                <w:color w:val="auto"/>
              </w:rPr>
            </w:pPr>
            <w:r>
              <w:rPr>
                <w:rFonts w:hint="eastAsia"/>
                <w:color w:val="auto"/>
                <w:lang w:val="en-US" w:eastAsia="zh-CN"/>
              </w:rPr>
              <w:t>办公室主任</w:t>
            </w:r>
          </w:p>
        </w:tc>
        <w:tc>
          <w:tcPr>
            <w:tcW w:w="1076" w:type="dxa"/>
            <w:noWrap w:val="0"/>
            <w:vAlign w:val="top"/>
          </w:tcPr>
          <w:p w14:paraId="729987AB">
            <w:pPr>
              <w:pStyle w:val="29"/>
              <w:bidi w:val="0"/>
              <w:rPr>
                <w:rFonts w:hint="eastAsia"/>
                <w:color w:val="auto"/>
                <w:lang w:val="en-US" w:eastAsia="zh-CN"/>
              </w:rPr>
            </w:pPr>
            <w:r>
              <w:rPr>
                <w:rFonts w:hint="eastAsia"/>
                <w:color w:val="auto"/>
                <w:lang w:val="en-US" w:eastAsia="zh-CN"/>
              </w:rPr>
              <w:t>杜国斌</w:t>
            </w:r>
          </w:p>
        </w:tc>
        <w:tc>
          <w:tcPr>
            <w:tcW w:w="1691" w:type="dxa"/>
            <w:noWrap w:val="0"/>
            <w:vAlign w:val="top"/>
          </w:tcPr>
          <w:p w14:paraId="05BD272D">
            <w:pPr>
              <w:pStyle w:val="29"/>
              <w:bidi w:val="0"/>
              <w:rPr>
                <w:color w:val="auto"/>
              </w:rPr>
            </w:pPr>
            <w:r>
              <w:rPr>
                <w:rFonts w:hint="eastAsia"/>
                <w:color w:val="auto"/>
                <w:lang w:val="en-US" w:eastAsia="zh-CN"/>
              </w:rPr>
              <w:t>15047017773</w:t>
            </w:r>
          </w:p>
        </w:tc>
      </w:tr>
      <w:tr w14:paraId="446242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restart"/>
            <w:noWrap w:val="0"/>
            <w:vAlign w:val="center"/>
          </w:tcPr>
          <w:p w14:paraId="5246B52F">
            <w:pPr>
              <w:pStyle w:val="29"/>
              <w:bidi w:val="0"/>
              <w:rPr>
                <w:color w:val="auto"/>
              </w:rPr>
            </w:pPr>
            <w:r>
              <w:rPr>
                <w:color w:val="auto"/>
              </w:rPr>
              <w:t>舆情组</w:t>
            </w:r>
          </w:p>
        </w:tc>
        <w:tc>
          <w:tcPr>
            <w:tcW w:w="1011" w:type="dxa"/>
            <w:noWrap w:val="0"/>
            <w:vAlign w:val="center"/>
          </w:tcPr>
          <w:p w14:paraId="610BAAF5">
            <w:pPr>
              <w:pStyle w:val="29"/>
              <w:bidi w:val="0"/>
              <w:rPr>
                <w:color w:val="auto"/>
              </w:rPr>
            </w:pPr>
            <w:r>
              <w:rPr>
                <w:color w:val="auto"/>
              </w:rPr>
              <w:t>成员</w:t>
            </w:r>
          </w:p>
        </w:tc>
        <w:tc>
          <w:tcPr>
            <w:tcW w:w="1970" w:type="dxa"/>
            <w:noWrap w:val="0"/>
            <w:vAlign w:val="center"/>
          </w:tcPr>
          <w:p w14:paraId="2DBEDE11">
            <w:pPr>
              <w:pStyle w:val="29"/>
              <w:bidi w:val="0"/>
              <w:rPr>
                <w:color w:val="auto"/>
              </w:rPr>
            </w:pPr>
            <w:r>
              <w:rPr>
                <w:rFonts w:hint="eastAsia"/>
                <w:color w:val="auto"/>
              </w:rPr>
              <w:t>委宣传部</w:t>
            </w:r>
          </w:p>
        </w:tc>
        <w:tc>
          <w:tcPr>
            <w:tcW w:w="1515" w:type="dxa"/>
            <w:noWrap w:val="0"/>
            <w:vAlign w:val="center"/>
          </w:tcPr>
          <w:p w14:paraId="4DAF6AEB">
            <w:pPr>
              <w:pStyle w:val="29"/>
              <w:bidi w:val="0"/>
              <w:rPr>
                <w:color w:val="auto"/>
              </w:rPr>
            </w:pPr>
            <w:r>
              <w:rPr>
                <w:rFonts w:hint="eastAsia"/>
                <w:color w:val="auto"/>
              </w:rPr>
              <w:t>常务副职</w:t>
            </w:r>
          </w:p>
        </w:tc>
        <w:tc>
          <w:tcPr>
            <w:tcW w:w="1076" w:type="dxa"/>
            <w:noWrap w:val="0"/>
            <w:vAlign w:val="center"/>
          </w:tcPr>
          <w:p w14:paraId="20F12E41">
            <w:pPr>
              <w:pStyle w:val="29"/>
              <w:bidi w:val="0"/>
              <w:rPr>
                <w:color w:val="auto"/>
              </w:rPr>
            </w:pPr>
            <w:r>
              <w:rPr>
                <w:rFonts w:hint="eastAsia"/>
                <w:color w:val="auto"/>
              </w:rPr>
              <w:t>吴薇薇</w:t>
            </w:r>
          </w:p>
        </w:tc>
        <w:tc>
          <w:tcPr>
            <w:tcW w:w="1691" w:type="dxa"/>
            <w:noWrap w:val="0"/>
            <w:vAlign w:val="center"/>
          </w:tcPr>
          <w:p w14:paraId="66918E46">
            <w:pPr>
              <w:pStyle w:val="29"/>
              <w:bidi w:val="0"/>
              <w:rPr>
                <w:rFonts w:hint="default"/>
                <w:color w:val="auto"/>
                <w:lang w:val="en-US"/>
              </w:rPr>
            </w:pPr>
            <w:r>
              <w:rPr>
                <w:rFonts w:hint="eastAsia"/>
                <w:color w:val="auto"/>
                <w:lang w:val="en-US" w:eastAsia="zh-CN"/>
              </w:rPr>
              <w:t>--</w:t>
            </w:r>
          </w:p>
        </w:tc>
      </w:tr>
      <w:tr w14:paraId="35E7A7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59" w:type="dxa"/>
            <w:vMerge w:val="continue"/>
            <w:noWrap w:val="0"/>
            <w:vAlign w:val="center"/>
          </w:tcPr>
          <w:p w14:paraId="5E0B12F3">
            <w:pPr>
              <w:pStyle w:val="29"/>
              <w:bidi w:val="0"/>
              <w:rPr>
                <w:color w:val="auto"/>
              </w:rPr>
            </w:pPr>
          </w:p>
        </w:tc>
        <w:tc>
          <w:tcPr>
            <w:tcW w:w="1011" w:type="dxa"/>
            <w:noWrap w:val="0"/>
            <w:vAlign w:val="center"/>
          </w:tcPr>
          <w:p w14:paraId="383A1B80">
            <w:pPr>
              <w:pStyle w:val="29"/>
              <w:bidi w:val="0"/>
              <w:rPr>
                <w:color w:val="auto"/>
              </w:rPr>
            </w:pPr>
            <w:r>
              <w:rPr>
                <w:color w:val="auto"/>
              </w:rPr>
              <w:t>成员</w:t>
            </w:r>
          </w:p>
        </w:tc>
        <w:tc>
          <w:tcPr>
            <w:tcW w:w="1970" w:type="dxa"/>
            <w:noWrap w:val="0"/>
            <w:vAlign w:val="center"/>
          </w:tcPr>
          <w:p w14:paraId="29D7ACBA">
            <w:pPr>
              <w:pStyle w:val="29"/>
              <w:bidi w:val="0"/>
              <w:rPr>
                <w:color w:val="auto"/>
              </w:rPr>
            </w:pPr>
            <w:r>
              <w:rPr>
                <w:rFonts w:hint="eastAsia"/>
                <w:color w:val="auto"/>
              </w:rPr>
              <w:t>融媒体中心</w:t>
            </w:r>
          </w:p>
        </w:tc>
        <w:tc>
          <w:tcPr>
            <w:tcW w:w="1515" w:type="dxa"/>
            <w:noWrap w:val="0"/>
            <w:vAlign w:val="center"/>
          </w:tcPr>
          <w:p w14:paraId="7DAAC2C8">
            <w:pPr>
              <w:pStyle w:val="29"/>
              <w:bidi w:val="0"/>
              <w:rPr>
                <w:color w:val="auto"/>
              </w:rPr>
            </w:pPr>
            <w:r>
              <w:rPr>
                <w:rFonts w:hint="eastAsia"/>
                <w:color w:val="auto"/>
              </w:rPr>
              <w:t>主任</w:t>
            </w:r>
          </w:p>
        </w:tc>
        <w:tc>
          <w:tcPr>
            <w:tcW w:w="1076" w:type="dxa"/>
            <w:noWrap w:val="0"/>
            <w:vAlign w:val="center"/>
          </w:tcPr>
          <w:p w14:paraId="7DD72564">
            <w:pPr>
              <w:pStyle w:val="29"/>
              <w:bidi w:val="0"/>
              <w:rPr>
                <w:color w:val="auto"/>
              </w:rPr>
            </w:pPr>
            <w:r>
              <w:rPr>
                <w:rFonts w:hint="eastAsia"/>
                <w:color w:val="auto"/>
                <w:lang w:eastAsia="zh-CN"/>
              </w:rPr>
              <w:t>秦绪伟</w:t>
            </w:r>
          </w:p>
        </w:tc>
        <w:tc>
          <w:tcPr>
            <w:tcW w:w="1691" w:type="dxa"/>
            <w:noWrap w:val="0"/>
            <w:vAlign w:val="center"/>
          </w:tcPr>
          <w:p w14:paraId="70852049">
            <w:pPr>
              <w:pStyle w:val="29"/>
              <w:bidi w:val="0"/>
              <w:rPr>
                <w:color w:val="auto"/>
              </w:rPr>
            </w:pPr>
            <w:r>
              <w:rPr>
                <w:rFonts w:hint="eastAsia"/>
                <w:color w:val="auto"/>
                <w:lang w:val="en-US" w:eastAsia="zh-CN"/>
              </w:rPr>
              <w:t>19214704923</w:t>
            </w:r>
          </w:p>
        </w:tc>
      </w:tr>
    </w:tbl>
    <w:p w14:paraId="228D315E">
      <w:pPr>
        <w:pStyle w:val="29"/>
        <w:bidi w:val="0"/>
        <w:rPr>
          <w:color w:val="auto"/>
        </w:rPr>
        <w:sectPr>
          <w:footerReference r:id="rId13" w:type="default"/>
          <w:footnotePr>
            <w:numFmt w:val="decimalHalfWidth"/>
          </w:footnotePr>
          <w:endnotePr>
            <w:numFmt w:val="chineseCounting"/>
          </w:endnotePr>
          <w:pgSz w:w="11905" w:h="16837"/>
          <w:pgMar w:top="1389" w:right="1361" w:bottom="1440" w:left="1361" w:header="709" w:footer="851" w:gutter="0"/>
          <w:pgBorders>
            <w:top w:val="none" w:sz="0" w:space="0"/>
            <w:left w:val="none" w:sz="0" w:space="0"/>
            <w:bottom w:val="none" w:sz="0" w:space="0"/>
            <w:right w:val="none" w:sz="0" w:space="0"/>
          </w:pgBorders>
          <w:pgNumType w:fmt="decimal"/>
          <w:cols w:space="720" w:num="1"/>
          <w:docGrid w:linePitch="272" w:charSpace="0"/>
        </w:sectPr>
      </w:pPr>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270"/>
        <w:gridCol w:w="6252"/>
      </w:tblGrid>
      <w:tr w14:paraId="6C09FF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3" w:hRule="atLeast"/>
          <w:jc w:val="center"/>
        </w:trPr>
        <w:tc>
          <w:tcPr>
            <w:tcW w:w="2270" w:type="dxa"/>
            <w:noWrap w:val="0"/>
            <w:vAlign w:val="center"/>
          </w:tcPr>
          <w:p w14:paraId="353E0A73">
            <w:pPr>
              <w:pStyle w:val="29"/>
              <w:bidi w:val="0"/>
              <w:rPr>
                <w:color w:val="auto"/>
              </w:rPr>
            </w:pPr>
            <w:r>
              <w:rPr>
                <w:color w:val="auto"/>
              </w:rPr>
              <w:t>应急办公室24小时值班电话</w:t>
            </w:r>
          </w:p>
        </w:tc>
        <w:tc>
          <w:tcPr>
            <w:tcW w:w="6252" w:type="dxa"/>
            <w:noWrap w:val="0"/>
            <w:vAlign w:val="center"/>
          </w:tcPr>
          <w:p w14:paraId="3001E7F2">
            <w:pPr>
              <w:pStyle w:val="29"/>
              <w:bidi w:val="0"/>
              <w:rPr>
                <w:color w:val="auto"/>
              </w:rPr>
            </w:pPr>
          </w:p>
        </w:tc>
      </w:tr>
    </w:tbl>
    <w:p w14:paraId="4D596D12">
      <w:pPr>
        <w:pStyle w:val="29"/>
        <w:bidi w:val="0"/>
        <w:rPr>
          <w:rFonts w:hint="eastAsia"/>
          <w:color w:val="auto"/>
        </w:rPr>
      </w:pPr>
    </w:p>
    <w:p w14:paraId="729EE493">
      <w:pPr>
        <w:adjustRightInd w:val="0"/>
        <w:snapToGrid w:val="0"/>
        <w:spacing w:before="120" w:beforeLines="50" w:after="120" w:afterLines="50" w:line="360" w:lineRule="auto"/>
        <w:ind w:left="0"/>
        <w:outlineLvl w:val="0"/>
        <w:rPr>
          <w:rFonts w:eastAsia="仿宋"/>
          <w:b/>
          <w:color w:val="auto"/>
          <w:sz w:val="28"/>
          <w:szCs w:val="28"/>
        </w:rPr>
        <w:sectPr>
          <w:footerReference r:id="rId14" w:type="default"/>
          <w:footnotePr>
            <w:numFmt w:val="decimalHalfWidth"/>
          </w:footnotePr>
          <w:endnotePr>
            <w:numFmt w:val="chineseCounting"/>
          </w:endnotePr>
          <w:pgSz w:w="11905" w:h="16837"/>
          <w:pgMar w:top="1389" w:right="1361" w:bottom="1440" w:left="1361" w:header="709" w:footer="851" w:gutter="0"/>
          <w:pgBorders>
            <w:top w:val="none" w:sz="0" w:space="0"/>
            <w:left w:val="none" w:sz="0" w:space="0"/>
            <w:bottom w:val="none" w:sz="0" w:space="0"/>
            <w:right w:val="none" w:sz="0" w:space="0"/>
          </w:pgBorders>
          <w:pgNumType w:fmt="decimal"/>
          <w:cols w:space="720" w:num="1"/>
          <w:docGrid w:linePitch="272" w:charSpace="0"/>
        </w:sectPr>
      </w:pPr>
      <w:bookmarkStart w:id="479" w:name="_Toc795508500"/>
    </w:p>
    <w:p w14:paraId="4AE70CB1">
      <w:pPr>
        <w:adjustRightInd w:val="0"/>
        <w:snapToGrid w:val="0"/>
        <w:spacing w:before="120" w:beforeLines="50" w:after="120" w:afterLines="50" w:line="360" w:lineRule="auto"/>
        <w:ind w:left="0"/>
        <w:outlineLvl w:val="0"/>
        <w:rPr>
          <w:rFonts w:eastAsia="仿宋"/>
          <w:b/>
          <w:color w:val="auto"/>
          <w:sz w:val="28"/>
          <w:szCs w:val="28"/>
        </w:rPr>
      </w:pPr>
      <w:bookmarkStart w:id="480" w:name="_Toc13113"/>
      <w:r>
        <w:rPr>
          <w:rFonts w:eastAsia="仿宋"/>
          <w:b/>
          <w:color w:val="auto"/>
          <w:sz w:val="28"/>
          <w:szCs w:val="28"/>
        </w:rPr>
        <w:t>附件2：政府有关部门联系电话一览表</w:t>
      </w:r>
      <w:bookmarkEnd w:id="479"/>
      <w:bookmarkEnd w:id="480"/>
    </w:p>
    <w:tbl>
      <w:tblPr>
        <w:tblStyle w:val="21"/>
        <w:tblW w:w="8539"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3827"/>
        <w:gridCol w:w="3469"/>
      </w:tblGrid>
      <w:tr w14:paraId="688B98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243" w:type="dxa"/>
            <w:noWrap w:val="0"/>
            <w:vAlign w:val="center"/>
          </w:tcPr>
          <w:p w14:paraId="7508DB0D">
            <w:pPr>
              <w:adjustRightInd w:val="0"/>
              <w:snapToGrid w:val="0"/>
              <w:jc w:val="center"/>
              <w:rPr>
                <w:rFonts w:eastAsia="仿宋"/>
                <w:b/>
                <w:bCs/>
                <w:color w:val="auto"/>
                <w:sz w:val="24"/>
                <w:szCs w:val="24"/>
              </w:rPr>
            </w:pPr>
            <w:r>
              <w:rPr>
                <w:rFonts w:eastAsia="仿宋"/>
                <w:b/>
                <w:bCs/>
                <w:color w:val="auto"/>
                <w:sz w:val="24"/>
                <w:szCs w:val="24"/>
              </w:rPr>
              <w:t>序号</w:t>
            </w:r>
          </w:p>
        </w:tc>
        <w:tc>
          <w:tcPr>
            <w:tcW w:w="3827" w:type="dxa"/>
            <w:noWrap w:val="0"/>
            <w:vAlign w:val="center"/>
          </w:tcPr>
          <w:p w14:paraId="0D8B596B">
            <w:pPr>
              <w:adjustRightInd w:val="0"/>
              <w:snapToGrid w:val="0"/>
              <w:jc w:val="center"/>
              <w:rPr>
                <w:rFonts w:eastAsia="仿宋"/>
                <w:b/>
                <w:bCs/>
                <w:color w:val="auto"/>
                <w:sz w:val="24"/>
                <w:szCs w:val="24"/>
              </w:rPr>
            </w:pPr>
            <w:r>
              <w:rPr>
                <w:rFonts w:eastAsia="仿宋"/>
                <w:b/>
                <w:bCs/>
                <w:color w:val="auto"/>
                <w:sz w:val="24"/>
                <w:szCs w:val="24"/>
              </w:rPr>
              <w:t>单位名称</w:t>
            </w:r>
          </w:p>
        </w:tc>
        <w:tc>
          <w:tcPr>
            <w:tcW w:w="3469" w:type="dxa"/>
            <w:noWrap w:val="0"/>
            <w:vAlign w:val="center"/>
          </w:tcPr>
          <w:p w14:paraId="6F32AE88">
            <w:pPr>
              <w:adjustRightInd w:val="0"/>
              <w:snapToGrid w:val="0"/>
              <w:jc w:val="center"/>
              <w:rPr>
                <w:rFonts w:eastAsia="仿宋"/>
                <w:color w:val="auto"/>
                <w:sz w:val="24"/>
                <w:szCs w:val="24"/>
              </w:rPr>
            </w:pPr>
            <w:r>
              <w:rPr>
                <w:rFonts w:hint="eastAsia" w:eastAsia="仿宋"/>
                <w:b/>
                <w:bCs/>
                <w:color w:val="auto"/>
                <w:sz w:val="24"/>
                <w:szCs w:val="24"/>
              </w:rPr>
              <w:t>姓名手机号（不能填写座机）</w:t>
            </w:r>
          </w:p>
        </w:tc>
      </w:tr>
      <w:tr w14:paraId="645CCF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3" w:type="dxa"/>
            <w:noWrap w:val="0"/>
            <w:vAlign w:val="center"/>
          </w:tcPr>
          <w:p w14:paraId="1AB1E215">
            <w:pPr>
              <w:adjustRightInd w:val="0"/>
              <w:snapToGrid w:val="0"/>
              <w:jc w:val="center"/>
              <w:rPr>
                <w:rFonts w:eastAsia="仿宋"/>
                <w:color w:val="auto"/>
                <w:sz w:val="24"/>
                <w:szCs w:val="24"/>
              </w:rPr>
            </w:pPr>
            <w:r>
              <w:rPr>
                <w:rFonts w:eastAsia="仿宋"/>
                <w:color w:val="auto"/>
                <w:sz w:val="24"/>
                <w:szCs w:val="24"/>
              </w:rPr>
              <w:t>1</w:t>
            </w:r>
          </w:p>
        </w:tc>
        <w:tc>
          <w:tcPr>
            <w:tcW w:w="3827" w:type="dxa"/>
            <w:noWrap w:val="0"/>
            <w:vAlign w:val="center"/>
          </w:tcPr>
          <w:p w14:paraId="3E5E00C1">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人民政府办公室</w:t>
            </w:r>
          </w:p>
        </w:tc>
        <w:tc>
          <w:tcPr>
            <w:tcW w:w="3469" w:type="dxa"/>
            <w:noWrap w:val="0"/>
            <w:vAlign w:val="center"/>
          </w:tcPr>
          <w:p w14:paraId="60D50A87">
            <w:pPr>
              <w:adjustRightInd w:val="0"/>
              <w:snapToGrid w:val="0"/>
              <w:jc w:val="center"/>
              <w:rPr>
                <w:rFonts w:eastAsia="仿宋"/>
                <w:color w:val="auto"/>
                <w:sz w:val="24"/>
                <w:szCs w:val="24"/>
              </w:rPr>
            </w:pPr>
          </w:p>
        </w:tc>
      </w:tr>
      <w:tr w14:paraId="3D7707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243" w:type="dxa"/>
            <w:noWrap w:val="0"/>
            <w:vAlign w:val="center"/>
          </w:tcPr>
          <w:p w14:paraId="13C24282">
            <w:pPr>
              <w:adjustRightInd w:val="0"/>
              <w:snapToGrid w:val="0"/>
              <w:jc w:val="center"/>
              <w:rPr>
                <w:rFonts w:eastAsia="仿宋"/>
                <w:color w:val="auto"/>
                <w:sz w:val="24"/>
                <w:szCs w:val="24"/>
              </w:rPr>
            </w:pPr>
            <w:r>
              <w:rPr>
                <w:rFonts w:eastAsia="仿宋"/>
                <w:color w:val="auto"/>
                <w:sz w:val="24"/>
                <w:szCs w:val="24"/>
              </w:rPr>
              <w:t>2</w:t>
            </w:r>
          </w:p>
        </w:tc>
        <w:tc>
          <w:tcPr>
            <w:tcW w:w="3827" w:type="dxa"/>
            <w:noWrap w:val="0"/>
            <w:vAlign w:val="center"/>
          </w:tcPr>
          <w:p w14:paraId="67FD6E9E">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生态环境局</w:t>
            </w:r>
          </w:p>
        </w:tc>
        <w:tc>
          <w:tcPr>
            <w:tcW w:w="3469" w:type="dxa"/>
            <w:noWrap w:val="0"/>
            <w:vAlign w:val="center"/>
          </w:tcPr>
          <w:p w14:paraId="639B057F">
            <w:pPr>
              <w:adjustRightInd w:val="0"/>
              <w:snapToGrid w:val="0"/>
              <w:jc w:val="center"/>
              <w:rPr>
                <w:rFonts w:eastAsia="仿宋"/>
                <w:color w:val="auto"/>
                <w:sz w:val="24"/>
                <w:szCs w:val="24"/>
              </w:rPr>
            </w:pPr>
          </w:p>
        </w:tc>
      </w:tr>
      <w:tr w14:paraId="64F3F9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3" w:type="dxa"/>
            <w:noWrap w:val="0"/>
            <w:vAlign w:val="center"/>
          </w:tcPr>
          <w:p w14:paraId="15297DDC">
            <w:pPr>
              <w:adjustRightInd w:val="0"/>
              <w:snapToGrid w:val="0"/>
              <w:jc w:val="center"/>
              <w:rPr>
                <w:rFonts w:eastAsia="仿宋"/>
                <w:color w:val="auto"/>
                <w:sz w:val="24"/>
                <w:szCs w:val="24"/>
              </w:rPr>
            </w:pPr>
            <w:r>
              <w:rPr>
                <w:rFonts w:eastAsia="仿宋"/>
                <w:color w:val="auto"/>
                <w:sz w:val="24"/>
                <w:szCs w:val="24"/>
              </w:rPr>
              <w:t>3</w:t>
            </w:r>
          </w:p>
        </w:tc>
        <w:tc>
          <w:tcPr>
            <w:tcW w:w="3827" w:type="dxa"/>
            <w:noWrap w:val="0"/>
            <w:vAlign w:val="center"/>
          </w:tcPr>
          <w:p w14:paraId="3DF33682">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应急管理局</w:t>
            </w:r>
          </w:p>
        </w:tc>
        <w:tc>
          <w:tcPr>
            <w:tcW w:w="3469" w:type="dxa"/>
            <w:noWrap w:val="0"/>
            <w:vAlign w:val="center"/>
          </w:tcPr>
          <w:p w14:paraId="55DF093D">
            <w:pPr>
              <w:adjustRightInd w:val="0"/>
              <w:snapToGrid w:val="0"/>
              <w:jc w:val="center"/>
              <w:rPr>
                <w:rFonts w:eastAsia="仿宋"/>
                <w:color w:val="auto"/>
                <w:sz w:val="24"/>
                <w:szCs w:val="24"/>
              </w:rPr>
            </w:pPr>
          </w:p>
        </w:tc>
      </w:tr>
      <w:tr w14:paraId="5498B8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3" w:type="dxa"/>
            <w:noWrap w:val="0"/>
            <w:vAlign w:val="center"/>
          </w:tcPr>
          <w:p w14:paraId="5A6DD08F">
            <w:pPr>
              <w:adjustRightInd w:val="0"/>
              <w:snapToGrid w:val="0"/>
              <w:jc w:val="center"/>
              <w:rPr>
                <w:rFonts w:eastAsia="仿宋"/>
                <w:color w:val="auto"/>
                <w:sz w:val="24"/>
                <w:szCs w:val="24"/>
              </w:rPr>
            </w:pPr>
            <w:r>
              <w:rPr>
                <w:rFonts w:hint="eastAsia" w:eastAsia="仿宋"/>
                <w:color w:val="auto"/>
                <w:sz w:val="24"/>
                <w:szCs w:val="24"/>
              </w:rPr>
              <w:t>4</w:t>
            </w:r>
          </w:p>
        </w:tc>
        <w:tc>
          <w:tcPr>
            <w:tcW w:w="3827" w:type="dxa"/>
            <w:noWrap w:val="0"/>
            <w:vAlign w:val="center"/>
          </w:tcPr>
          <w:p w14:paraId="26BD4192">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气象局</w:t>
            </w:r>
          </w:p>
        </w:tc>
        <w:tc>
          <w:tcPr>
            <w:tcW w:w="3469" w:type="dxa"/>
            <w:noWrap w:val="0"/>
            <w:vAlign w:val="center"/>
          </w:tcPr>
          <w:p w14:paraId="24F28CAB">
            <w:pPr>
              <w:adjustRightInd w:val="0"/>
              <w:snapToGrid w:val="0"/>
              <w:jc w:val="center"/>
              <w:rPr>
                <w:rFonts w:eastAsia="仿宋"/>
                <w:color w:val="auto"/>
                <w:sz w:val="24"/>
                <w:szCs w:val="24"/>
              </w:rPr>
            </w:pPr>
          </w:p>
        </w:tc>
      </w:tr>
      <w:tr w14:paraId="7F9988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3" w:type="dxa"/>
            <w:noWrap w:val="0"/>
            <w:vAlign w:val="center"/>
          </w:tcPr>
          <w:p w14:paraId="7C2D2CF7">
            <w:pPr>
              <w:adjustRightInd w:val="0"/>
              <w:snapToGrid w:val="0"/>
              <w:jc w:val="center"/>
              <w:rPr>
                <w:rFonts w:eastAsia="仿宋"/>
                <w:color w:val="auto"/>
                <w:sz w:val="24"/>
                <w:szCs w:val="24"/>
              </w:rPr>
            </w:pPr>
            <w:r>
              <w:rPr>
                <w:rFonts w:hint="eastAsia" w:eastAsia="仿宋"/>
                <w:color w:val="auto"/>
                <w:sz w:val="24"/>
                <w:szCs w:val="24"/>
              </w:rPr>
              <w:t>5</w:t>
            </w:r>
          </w:p>
        </w:tc>
        <w:tc>
          <w:tcPr>
            <w:tcW w:w="3827" w:type="dxa"/>
            <w:noWrap w:val="0"/>
            <w:vAlign w:val="center"/>
          </w:tcPr>
          <w:p w14:paraId="0B3CB3DA">
            <w:pPr>
              <w:adjustRightInd w:val="0"/>
              <w:snapToGrid w:val="0"/>
              <w:jc w:val="center"/>
              <w:rPr>
                <w:rFonts w:eastAsia="仿宋"/>
                <w:color w:val="auto"/>
                <w:sz w:val="24"/>
                <w:szCs w:val="24"/>
              </w:rPr>
            </w:pPr>
            <w:r>
              <w:rPr>
                <w:rFonts w:hint="eastAsia" w:eastAsia="仿宋"/>
                <w:color w:val="auto"/>
                <w:sz w:val="24"/>
                <w:szCs w:val="24"/>
              </w:rPr>
              <w:t>呼伦贝尔市农牧和科技局（</w:t>
            </w:r>
            <w:r>
              <w:rPr>
                <w:rFonts w:eastAsia="仿宋"/>
                <w:color w:val="auto"/>
                <w:sz w:val="24"/>
                <w:szCs w:val="24"/>
              </w:rPr>
              <w:t>水利局</w:t>
            </w:r>
            <w:r>
              <w:rPr>
                <w:rFonts w:hint="eastAsia" w:eastAsia="仿宋"/>
                <w:color w:val="auto"/>
                <w:sz w:val="24"/>
                <w:szCs w:val="24"/>
              </w:rPr>
              <w:t>）</w:t>
            </w:r>
          </w:p>
        </w:tc>
        <w:tc>
          <w:tcPr>
            <w:tcW w:w="3469" w:type="dxa"/>
            <w:noWrap w:val="0"/>
            <w:vAlign w:val="center"/>
          </w:tcPr>
          <w:p w14:paraId="0677EA16">
            <w:pPr>
              <w:adjustRightInd w:val="0"/>
              <w:snapToGrid w:val="0"/>
              <w:jc w:val="center"/>
              <w:rPr>
                <w:rFonts w:eastAsia="仿宋"/>
                <w:color w:val="auto"/>
                <w:sz w:val="24"/>
                <w:szCs w:val="24"/>
              </w:rPr>
            </w:pPr>
          </w:p>
        </w:tc>
      </w:tr>
      <w:tr w14:paraId="240AAE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3" w:type="dxa"/>
            <w:noWrap w:val="0"/>
            <w:vAlign w:val="center"/>
          </w:tcPr>
          <w:p w14:paraId="2E6C7C10">
            <w:pPr>
              <w:adjustRightInd w:val="0"/>
              <w:snapToGrid w:val="0"/>
              <w:jc w:val="center"/>
              <w:rPr>
                <w:rFonts w:eastAsia="仿宋"/>
                <w:color w:val="auto"/>
                <w:sz w:val="24"/>
                <w:szCs w:val="24"/>
              </w:rPr>
            </w:pPr>
            <w:r>
              <w:rPr>
                <w:rFonts w:hint="eastAsia" w:eastAsia="仿宋"/>
                <w:color w:val="auto"/>
                <w:sz w:val="24"/>
                <w:szCs w:val="24"/>
              </w:rPr>
              <w:t>6</w:t>
            </w:r>
          </w:p>
        </w:tc>
        <w:tc>
          <w:tcPr>
            <w:tcW w:w="3827" w:type="dxa"/>
            <w:noWrap w:val="0"/>
            <w:vAlign w:val="center"/>
          </w:tcPr>
          <w:p w14:paraId="139B63AD">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消防救援支队</w:t>
            </w:r>
          </w:p>
        </w:tc>
        <w:tc>
          <w:tcPr>
            <w:tcW w:w="3469" w:type="dxa"/>
            <w:noWrap w:val="0"/>
            <w:vAlign w:val="center"/>
          </w:tcPr>
          <w:p w14:paraId="14606CE4">
            <w:pPr>
              <w:adjustRightInd w:val="0"/>
              <w:snapToGrid w:val="0"/>
              <w:jc w:val="center"/>
              <w:rPr>
                <w:rFonts w:eastAsia="仿宋"/>
                <w:color w:val="auto"/>
                <w:sz w:val="24"/>
                <w:szCs w:val="24"/>
              </w:rPr>
            </w:pPr>
          </w:p>
        </w:tc>
      </w:tr>
    </w:tbl>
    <w:p w14:paraId="5DA9CF19">
      <w:pPr>
        <w:adjustRightInd w:val="0"/>
        <w:snapToGrid w:val="0"/>
        <w:spacing w:before="120" w:beforeLines="50" w:after="120" w:afterLines="50" w:line="360" w:lineRule="auto"/>
        <w:ind w:left="0"/>
        <w:jc w:val="center"/>
        <w:rPr>
          <w:rFonts w:eastAsia="仿宋"/>
          <w:color w:val="auto"/>
          <w:sz w:val="28"/>
          <w:szCs w:val="28"/>
        </w:rPr>
      </w:pPr>
    </w:p>
    <w:p w14:paraId="61398A80">
      <w:pPr>
        <w:spacing w:line="400" w:lineRule="exact"/>
        <w:jc w:val="center"/>
        <w:rPr>
          <w:rFonts w:eastAsia="仿宋"/>
          <w:b/>
          <w:color w:val="auto"/>
          <w:sz w:val="24"/>
          <w:szCs w:val="24"/>
        </w:rPr>
      </w:pPr>
    </w:p>
    <w:p w14:paraId="3A073E11">
      <w:pPr>
        <w:spacing w:line="500" w:lineRule="exact"/>
        <w:ind w:left="0"/>
        <w:rPr>
          <w:rFonts w:eastAsia="仿宋"/>
          <w:b/>
          <w:color w:val="auto"/>
          <w:sz w:val="36"/>
          <w:szCs w:val="36"/>
        </w:rPr>
        <w:sectPr>
          <w:footnotePr>
            <w:numFmt w:val="decimalHalfWidth"/>
          </w:footnotePr>
          <w:endnotePr>
            <w:numFmt w:val="chineseCounting"/>
          </w:endnotePr>
          <w:pgSz w:w="11905" w:h="16837"/>
          <w:pgMar w:top="1389" w:right="1361" w:bottom="1440" w:left="1361" w:header="709" w:footer="851" w:gutter="0"/>
          <w:pgBorders>
            <w:top w:val="none" w:sz="0" w:space="0"/>
            <w:left w:val="none" w:sz="0" w:space="0"/>
            <w:bottom w:val="none" w:sz="0" w:space="0"/>
            <w:right w:val="none" w:sz="0" w:space="0"/>
          </w:pgBorders>
          <w:pgNumType w:fmt="decimal"/>
          <w:cols w:space="720" w:num="1"/>
          <w:docGrid w:linePitch="272" w:charSpace="0"/>
        </w:sectPr>
      </w:pPr>
    </w:p>
    <w:p w14:paraId="0D521D76">
      <w:pPr>
        <w:adjustRightInd w:val="0"/>
        <w:snapToGrid w:val="0"/>
        <w:spacing w:before="120" w:beforeLines="50" w:after="120" w:afterLines="50" w:line="360" w:lineRule="auto"/>
        <w:ind w:left="0"/>
        <w:outlineLvl w:val="0"/>
        <w:rPr>
          <w:rFonts w:eastAsia="仿宋"/>
          <w:b/>
          <w:color w:val="auto"/>
          <w:sz w:val="28"/>
          <w:szCs w:val="28"/>
        </w:rPr>
      </w:pPr>
      <w:bookmarkStart w:id="481" w:name="_Toc22391"/>
      <w:bookmarkStart w:id="482" w:name="_Toc2025656925"/>
      <w:r>
        <w:rPr>
          <w:rFonts w:eastAsia="仿宋"/>
          <w:b/>
          <w:color w:val="auto"/>
          <w:sz w:val="28"/>
          <w:szCs w:val="28"/>
        </w:rPr>
        <w:t>附件3：</w:t>
      </w:r>
      <w:r>
        <w:rPr>
          <w:rFonts w:hint="eastAsia" w:eastAsia="仿宋"/>
          <w:b/>
          <w:color w:val="auto"/>
          <w:sz w:val="28"/>
          <w:szCs w:val="28"/>
        </w:rPr>
        <w:t>额尔古纳市</w:t>
      </w:r>
      <w:r>
        <w:rPr>
          <w:rFonts w:eastAsia="仿宋"/>
          <w:b/>
          <w:color w:val="auto"/>
          <w:sz w:val="28"/>
          <w:szCs w:val="28"/>
        </w:rPr>
        <w:t>突发环境事件应急工作流程</w:t>
      </w:r>
      <w:bookmarkEnd w:id="481"/>
      <w:bookmarkEnd w:id="482"/>
    </w:p>
    <w:p w14:paraId="6F01B6AB">
      <w:pPr>
        <w:spacing w:line="360" w:lineRule="auto"/>
        <w:jc w:val="center"/>
        <w:rPr>
          <w:rFonts w:eastAsia="仿宋"/>
          <w:color w:val="auto"/>
          <w:sz w:val="28"/>
          <w:szCs w:val="28"/>
        </w:rPr>
      </w:pPr>
      <w:r>
        <w:rPr>
          <w:rFonts w:eastAsia="仿宋"/>
          <w:color w:val="auto"/>
        </w:rPr>
        <w:drawing>
          <wp:inline distT="0" distB="0" distL="114300" distR="114300">
            <wp:extent cx="5559425" cy="5025390"/>
            <wp:effectExtent l="0" t="0" r="3175" b="381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8"/>
                    <a:stretch>
                      <a:fillRect/>
                    </a:stretch>
                  </pic:blipFill>
                  <pic:spPr>
                    <a:xfrm>
                      <a:off x="0" y="0"/>
                      <a:ext cx="5559425" cy="5025390"/>
                    </a:xfrm>
                    <a:prstGeom prst="rect">
                      <a:avLst/>
                    </a:prstGeom>
                    <a:noFill/>
                    <a:ln>
                      <a:noFill/>
                    </a:ln>
                  </pic:spPr>
                </pic:pic>
              </a:graphicData>
            </a:graphic>
          </wp:inline>
        </w:drawing>
      </w:r>
    </w:p>
    <w:p w14:paraId="6F9765F2">
      <w:pPr>
        <w:adjustRightInd w:val="0"/>
        <w:snapToGrid w:val="0"/>
        <w:spacing w:before="120" w:beforeLines="50" w:after="120" w:afterLines="50" w:line="360" w:lineRule="auto"/>
        <w:ind w:left="0"/>
        <w:rPr>
          <w:rFonts w:eastAsia="仿宋"/>
          <w:color w:val="auto"/>
          <w:sz w:val="28"/>
          <w:szCs w:val="28"/>
        </w:rPr>
      </w:pPr>
    </w:p>
    <w:p w14:paraId="7890682A">
      <w:pPr>
        <w:adjustRightInd w:val="0"/>
        <w:snapToGrid w:val="0"/>
        <w:spacing w:before="120" w:beforeLines="50" w:after="120" w:afterLines="50" w:line="360" w:lineRule="auto"/>
        <w:ind w:left="0"/>
        <w:outlineLvl w:val="0"/>
        <w:rPr>
          <w:rFonts w:eastAsia="仿宋"/>
          <w:b/>
          <w:color w:val="auto"/>
          <w:sz w:val="28"/>
          <w:szCs w:val="28"/>
        </w:rPr>
      </w:pPr>
      <w:r>
        <w:rPr>
          <w:rFonts w:eastAsia="仿宋"/>
          <w:color w:val="auto"/>
          <w:sz w:val="32"/>
        </w:rPr>
        <w:br w:type="page"/>
      </w:r>
      <w:bookmarkStart w:id="483" w:name="_Toc1157682584"/>
      <w:bookmarkStart w:id="484" w:name="_Toc23665"/>
      <w:r>
        <w:rPr>
          <w:rFonts w:hint="eastAsia" w:eastAsia="仿宋"/>
          <w:b/>
          <w:color w:val="auto"/>
          <w:sz w:val="28"/>
          <w:szCs w:val="28"/>
        </w:rPr>
        <w:t>附件</w:t>
      </w:r>
      <w:r>
        <w:rPr>
          <w:rFonts w:eastAsia="仿宋"/>
          <w:b/>
          <w:color w:val="auto"/>
          <w:sz w:val="28"/>
          <w:szCs w:val="28"/>
        </w:rPr>
        <w:t>4</w:t>
      </w:r>
      <w:r>
        <w:rPr>
          <w:rFonts w:hint="eastAsia" w:eastAsia="仿宋"/>
          <w:b/>
          <w:color w:val="auto"/>
          <w:sz w:val="28"/>
          <w:szCs w:val="28"/>
        </w:rPr>
        <w:t>：典型环境风险事故应急处置卡</w:t>
      </w:r>
      <w:bookmarkEnd w:id="483"/>
      <w:bookmarkEnd w:id="484"/>
    </w:p>
    <w:p w14:paraId="3B472B0E">
      <w:pPr>
        <w:adjustRightInd w:val="0"/>
        <w:snapToGrid w:val="0"/>
        <w:spacing w:before="120" w:after="120" w:line="360" w:lineRule="auto"/>
        <w:jc w:val="center"/>
        <w:rPr>
          <w:rFonts w:ascii="仿宋" w:hAnsi="仿宋" w:eastAsia="仿宋"/>
          <w:color w:val="auto"/>
          <w:sz w:val="24"/>
          <w:szCs w:val="24"/>
        </w:rPr>
      </w:pPr>
      <w:r>
        <w:rPr>
          <w:rFonts w:hint="eastAsia" w:ascii="仿宋" w:hAnsi="仿宋" w:eastAsia="仿宋"/>
          <w:color w:val="auto"/>
          <w:sz w:val="24"/>
          <w:szCs w:val="24"/>
        </w:rPr>
        <w:t>液氨泄漏事故现场应急处置卡</w:t>
      </w:r>
    </w:p>
    <w:tbl>
      <w:tblPr>
        <w:tblStyle w:val="21"/>
        <w:tblW w:w="8359"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237"/>
        <w:gridCol w:w="418"/>
      </w:tblGrid>
      <w:tr w14:paraId="6985B5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4" w:type="dxa"/>
            <w:noWrap w:val="0"/>
            <w:vAlign w:val="center"/>
          </w:tcPr>
          <w:p w14:paraId="7C34E95E">
            <w:pPr>
              <w:adjustRightInd w:val="0"/>
              <w:snapToGrid w:val="0"/>
              <w:jc w:val="center"/>
              <w:rPr>
                <w:rFonts w:eastAsia="仿宋"/>
                <w:color w:val="auto"/>
                <w:sz w:val="24"/>
                <w:szCs w:val="24"/>
              </w:rPr>
            </w:pPr>
            <w:r>
              <w:rPr>
                <w:rFonts w:eastAsia="仿宋"/>
                <w:color w:val="auto"/>
                <w:sz w:val="24"/>
                <w:szCs w:val="24"/>
              </w:rPr>
              <w:t>类别</w:t>
            </w:r>
          </w:p>
        </w:tc>
        <w:tc>
          <w:tcPr>
            <w:tcW w:w="7655" w:type="dxa"/>
            <w:gridSpan w:val="2"/>
            <w:noWrap w:val="0"/>
            <w:vAlign w:val="center"/>
          </w:tcPr>
          <w:p w14:paraId="494EAF4C">
            <w:pPr>
              <w:adjustRightInd w:val="0"/>
              <w:snapToGrid w:val="0"/>
              <w:jc w:val="center"/>
              <w:rPr>
                <w:rFonts w:eastAsia="仿宋"/>
                <w:color w:val="auto"/>
                <w:sz w:val="24"/>
                <w:szCs w:val="24"/>
              </w:rPr>
            </w:pPr>
            <w:r>
              <w:rPr>
                <w:rFonts w:eastAsia="仿宋"/>
                <w:color w:val="auto"/>
                <w:sz w:val="24"/>
                <w:szCs w:val="24"/>
              </w:rPr>
              <w:t>内容</w:t>
            </w:r>
          </w:p>
        </w:tc>
      </w:tr>
      <w:tr w14:paraId="617CE6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359" w:type="dxa"/>
            <w:gridSpan w:val="3"/>
            <w:noWrap w:val="0"/>
            <w:vAlign w:val="center"/>
          </w:tcPr>
          <w:p w14:paraId="5381DDE1">
            <w:pPr>
              <w:adjustRightInd w:val="0"/>
              <w:snapToGrid w:val="0"/>
              <w:spacing w:before="120" w:beforeLines="50" w:line="360" w:lineRule="auto"/>
              <w:rPr>
                <w:rFonts w:eastAsia="仿宋"/>
                <w:color w:val="auto"/>
                <w:sz w:val="24"/>
                <w:szCs w:val="24"/>
              </w:rPr>
            </w:pPr>
            <w:r>
              <w:rPr>
                <w:rFonts w:eastAsia="仿宋"/>
                <w:color w:val="auto"/>
                <w:sz w:val="24"/>
                <w:szCs w:val="24"/>
              </w:rPr>
              <w:t>风险描述：</w:t>
            </w:r>
            <w:r>
              <w:rPr>
                <w:rFonts w:hint="eastAsia" w:eastAsia="仿宋"/>
                <w:color w:val="auto"/>
                <w:sz w:val="24"/>
                <w:szCs w:val="24"/>
              </w:rPr>
              <w:t>液氨泄漏时，从泄漏处冒出大量的烟雾，周围环境有强烈的刺激性气味；泄漏处的设备、管线发冷，严重时结冰。并且液氨与空气混合能形成爆炸性混合物，遇明火、高热能引起燃烧事件，对周边环境和人体存在巨大的安全风险。进入土壤将引起土壤污染，事故废水流入地表水后将引起水质恶化，破坏水生态系统。</w:t>
            </w:r>
          </w:p>
        </w:tc>
      </w:tr>
      <w:tr w14:paraId="003887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466A28F9">
            <w:pPr>
              <w:adjustRightInd w:val="0"/>
              <w:snapToGrid w:val="0"/>
              <w:jc w:val="center"/>
              <w:rPr>
                <w:rFonts w:eastAsia="仿宋"/>
                <w:color w:val="auto"/>
                <w:sz w:val="24"/>
                <w:szCs w:val="24"/>
              </w:rPr>
            </w:pPr>
            <w:r>
              <w:rPr>
                <w:rFonts w:eastAsia="仿宋"/>
                <w:color w:val="auto"/>
                <w:sz w:val="24"/>
                <w:szCs w:val="24"/>
              </w:rPr>
              <w:t>应急</w:t>
            </w:r>
          </w:p>
          <w:p w14:paraId="75AE5B3E">
            <w:pPr>
              <w:adjustRightInd w:val="0"/>
              <w:snapToGrid w:val="0"/>
              <w:jc w:val="center"/>
              <w:rPr>
                <w:rFonts w:eastAsia="仿宋"/>
                <w:color w:val="auto"/>
                <w:sz w:val="24"/>
                <w:szCs w:val="24"/>
              </w:rPr>
            </w:pPr>
            <w:r>
              <w:rPr>
                <w:rFonts w:eastAsia="仿宋"/>
                <w:color w:val="auto"/>
                <w:sz w:val="24"/>
                <w:szCs w:val="24"/>
              </w:rPr>
              <w:t>程序</w:t>
            </w:r>
          </w:p>
        </w:tc>
        <w:tc>
          <w:tcPr>
            <w:tcW w:w="7237" w:type="dxa"/>
            <w:noWrap w:val="0"/>
            <w:vAlign w:val="center"/>
          </w:tcPr>
          <w:p w14:paraId="120DFA71">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（1）接警、确定事件级别，并上报上级部门；</w:t>
            </w:r>
          </w:p>
          <w:p w14:paraId="4DB1566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（2）由相应级别的突发环境事件应急指挥部启动应急预案，赴现场指挥应急救援工作；</w:t>
            </w:r>
          </w:p>
          <w:p w14:paraId="6BDC470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（3）若事件的影响超出企业范围或可能超出企业范围，由乡镇、街道/责任人负责组织专业人员进行先期处置，控制事态发展；在上级指挥人员到场后，乡镇、街道/责任人负责各项应急处置措施、方案的落实；</w:t>
            </w:r>
          </w:p>
          <w:p w14:paraId="7CC4240D">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（4）确定泄漏时间或预计持续时间，估算泄漏量，对污染物扩散趋势进行预测。同时，制订监测方案，开展应急监测，尽快确定污染范围和程度；</w:t>
            </w:r>
          </w:p>
          <w:p w14:paraId="1469320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（5）确定事发地周边环境风险受体的分布，及时对可能受到影响的群众进行疏散；</w:t>
            </w:r>
          </w:p>
          <w:p w14:paraId="221FAB6A">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（6）应急保障组负责应急救援物资的协调、补充和供应，应急疏散群众的基本生活保障；</w:t>
            </w:r>
          </w:p>
          <w:p w14:paraId="395746D8">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（7）制定工艺、设备和事故现场的恢复措施。</w:t>
            </w:r>
          </w:p>
        </w:tc>
        <w:tc>
          <w:tcPr>
            <w:tcW w:w="418" w:type="dxa"/>
            <w:noWrap w:val="0"/>
            <w:vAlign w:val="center"/>
          </w:tcPr>
          <w:p w14:paraId="1CD1FC42">
            <w:pPr>
              <w:adjustRightInd w:val="0"/>
              <w:snapToGrid w:val="0"/>
              <w:jc w:val="center"/>
              <w:rPr>
                <w:rFonts w:eastAsia="仿宋"/>
                <w:color w:val="auto"/>
                <w:sz w:val="24"/>
                <w:szCs w:val="24"/>
              </w:rPr>
            </w:pPr>
            <w:r>
              <w:rPr>
                <w:rFonts w:eastAsia="仿宋"/>
                <w:color w:val="auto"/>
                <w:sz w:val="24"/>
                <w:szCs w:val="24"/>
              </w:rPr>
              <w:t>责任</w:t>
            </w:r>
          </w:p>
          <w:p w14:paraId="0B180153">
            <w:pPr>
              <w:adjustRightInd w:val="0"/>
              <w:snapToGrid w:val="0"/>
              <w:jc w:val="center"/>
              <w:rPr>
                <w:rFonts w:eastAsia="仿宋"/>
                <w:color w:val="auto"/>
                <w:sz w:val="24"/>
                <w:szCs w:val="24"/>
              </w:rPr>
            </w:pPr>
            <w:r>
              <w:rPr>
                <w:rFonts w:eastAsia="仿宋"/>
                <w:color w:val="auto"/>
                <w:sz w:val="24"/>
                <w:szCs w:val="24"/>
              </w:rPr>
              <w:t>岗位</w:t>
            </w:r>
          </w:p>
        </w:tc>
      </w:tr>
      <w:tr w14:paraId="550FB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52553B31">
            <w:pPr>
              <w:adjustRightInd w:val="0"/>
              <w:snapToGrid w:val="0"/>
              <w:jc w:val="center"/>
              <w:rPr>
                <w:rFonts w:eastAsia="仿宋"/>
                <w:color w:val="auto"/>
                <w:sz w:val="24"/>
                <w:szCs w:val="24"/>
              </w:rPr>
            </w:pPr>
            <w:r>
              <w:rPr>
                <w:rFonts w:eastAsia="仿宋"/>
                <w:color w:val="auto"/>
                <w:sz w:val="24"/>
                <w:szCs w:val="24"/>
              </w:rPr>
              <w:t>报告</w:t>
            </w:r>
          </w:p>
          <w:p w14:paraId="717BB6A0">
            <w:pPr>
              <w:adjustRightInd w:val="0"/>
              <w:snapToGrid w:val="0"/>
              <w:jc w:val="center"/>
              <w:rPr>
                <w:rFonts w:eastAsia="仿宋"/>
                <w:color w:val="auto"/>
                <w:sz w:val="24"/>
                <w:szCs w:val="24"/>
              </w:rPr>
            </w:pPr>
            <w:r>
              <w:rPr>
                <w:rFonts w:eastAsia="仿宋"/>
                <w:color w:val="auto"/>
                <w:sz w:val="24"/>
                <w:szCs w:val="24"/>
              </w:rPr>
              <w:t>程序</w:t>
            </w:r>
          </w:p>
        </w:tc>
        <w:tc>
          <w:tcPr>
            <w:tcW w:w="7237" w:type="dxa"/>
            <w:noWrap w:val="0"/>
            <w:vAlign w:val="center"/>
          </w:tcPr>
          <w:p w14:paraId="3290998F">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（1）泄漏事故发生后，最早发现者和事故部门应立即报告部门负责人和企业应急救援办公室；</w:t>
            </w:r>
          </w:p>
          <w:p w14:paraId="17C3720F">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（2）企业应急救援办公室接到报告并核实后，报告企业应急救援指挥部、应急救援指挥部、乡镇/街道人民政府或乡镇/街道应急指挥部；</w:t>
            </w:r>
          </w:p>
          <w:p w14:paraId="2760DEB5">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（3）企业、乡镇/街道应急指挥部办公室对事件的性质和级别做出初步认定，总指挥根据事件的级别确定是否上报；</w:t>
            </w:r>
          </w:p>
          <w:p w14:paraId="55886384">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（4）对初步认定为一般或较大的突发环境事件，应在接报4后小时内上报</w:t>
            </w:r>
            <w:r>
              <w:rPr>
                <w:rFonts w:hint="eastAsia" w:eastAsia="仿宋"/>
                <w:color w:val="auto"/>
                <w:sz w:val="24"/>
                <w:szCs w:val="24"/>
              </w:rPr>
              <w:t>额尔古纳市</w:t>
            </w:r>
            <w:r>
              <w:rPr>
                <w:rFonts w:eastAsia="仿宋"/>
                <w:color w:val="auto"/>
                <w:sz w:val="24"/>
                <w:szCs w:val="24"/>
              </w:rPr>
              <w:t>突发环境事件应急办公室；</w:t>
            </w:r>
          </w:p>
          <w:p w14:paraId="10118D13">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w:t>
            </w:r>
            <w:r>
              <w:rPr>
                <w:rFonts w:hint="eastAsia" w:eastAsia="仿宋"/>
                <w:color w:val="auto"/>
                <w:sz w:val="24"/>
                <w:szCs w:val="24"/>
              </w:rPr>
              <w:t>额尔古纳市</w:t>
            </w:r>
            <w:r>
              <w:rPr>
                <w:rFonts w:eastAsia="仿宋"/>
                <w:color w:val="auto"/>
                <w:sz w:val="24"/>
                <w:szCs w:val="24"/>
              </w:rPr>
              <w:t>突发环境事件应急办公室接报，经事故核实和级别确认后，对初步认定为重大或特别重大的事故，应当在2小时内向呼伦贝尔市突发环境事件应急指挥部办公室汇报；呼伦贝尔市突发环境事件应急指挥部办公室接报，核实信息后在1小时内报告生态环境部；</w:t>
            </w:r>
          </w:p>
          <w:p w14:paraId="6916E9E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（6）应急救援人员到达现场后，对泄漏现场的污染程度进行监测分析，将监测情况报告应急指挥部；</w:t>
            </w:r>
          </w:p>
          <w:p w14:paraId="6BAB5FEF">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（7）事故得到控制后，由相应级别的应急指挥部办公室负责写事故分析报告并报应急指挥部；</w:t>
            </w:r>
          </w:p>
          <w:p w14:paraId="48F561E1">
            <w:pPr>
              <w:adjustRightInd w:val="0"/>
              <w:snapToGrid w:val="0"/>
              <w:spacing w:line="360" w:lineRule="auto"/>
              <w:ind w:left="600" w:hanging="600" w:hangingChars="250"/>
              <w:rPr>
                <w:rFonts w:eastAsia="仿宋"/>
                <w:color w:val="auto"/>
                <w:sz w:val="24"/>
                <w:szCs w:val="24"/>
              </w:rPr>
            </w:pPr>
            <w:r>
              <w:rPr>
                <w:rFonts w:eastAsia="仿宋"/>
                <w:color w:val="auto"/>
                <w:sz w:val="24"/>
                <w:szCs w:val="24"/>
              </w:rPr>
              <w:t>（8）突发环境事件处置过程中事件级别发生变化的，应当按照变化后的级别报告信息。</w:t>
            </w:r>
          </w:p>
          <w:p w14:paraId="7C087B87">
            <w:pPr>
              <w:adjustRightInd w:val="0"/>
              <w:snapToGrid w:val="0"/>
              <w:spacing w:line="360" w:lineRule="auto"/>
              <w:ind w:left="600" w:hanging="600" w:hangingChars="250"/>
              <w:rPr>
                <w:rFonts w:eastAsia="仿宋"/>
                <w:color w:val="auto"/>
                <w:sz w:val="24"/>
                <w:szCs w:val="24"/>
              </w:rPr>
            </w:pPr>
            <w:r>
              <w:rPr>
                <w:rFonts w:eastAsia="仿宋"/>
                <w:color w:val="auto"/>
                <w:sz w:val="24"/>
                <w:szCs w:val="24"/>
              </w:rPr>
              <w:t>（9）事故涉及居民聚居区、学校、医院等敏感区域和敏感人群、可能产生跨区域影响或因大气污染可能引发群体性事件或社会影响较大时，应按照重大或特别重大的报告程序上报。</w:t>
            </w:r>
          </w:p>
        </w:tc>
        <w:tc>
          <w:tcPr>
            <w:tcW w:w="418" w:type="dxa"/>
            <w:vMerge w:val="restart"/>
            <w:noWrap w:val="0"/>
            <w:vAlign w:val="center"/>
          </w:tcPr>
          <w:p w14:paraId="48C36434">
            <w:pPr>
              <w:adjustRightInd w:val="0"/>
              <w:snapToGrid w:val="0"/>
              <w:jc w:val="center"/>
              <w:rPr>
                <w:rFonts w:eastAsia="仿宋"/>
                <w:color w:val="auto"/>
                <w:sz w:val="24"/>
                <w:szCs w:val="24"/>
              </w:rPr>
            </w:pPr>
            <w:r>
              <w:rPr>
                <w:rFonts w:eastAsia="仿宋"/>
                <w:color w:val="auto"/>
                <w:sz w:val="24"/>
                <w:szCs w:val="24"/>
              </w:rPr>
              <w:t>事故所在地行政区域人民政府或管理委员会负责人</w:t>
            </w:r>
          </w:p>
        </w:tc>
      </w:tr>
      <w:tr w14:paraId="50DC74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59BD8D8">
            <w:pPr>
              <w:adjustRightInd w:val="0"/>
              <w:snapToGrid w:val="0"/>
              <w:jc w:val="center"/>
              <w:rPr>
                <w:rFonts w:eastAsia="仿宋"/>
                <w:color w:val="auto"/>
                <w:sz w:val="24"/>
                <w:szCs w:val="24"/>
              </w:rPr>
            </w:pPr>
            <w:r>
              <w:rPr>
                <w:rFonts w:eastAsia="仿宋"/>
                <w:color w:val="auto"/>
                <w:sz w:val="24"/>
                <w:szCs w:val="24"/>
              </w:rPr>
              <w:t>上报</w:t>
            </w:r>
          </w:p>
          <w:p w14:paraId="18FD4516">
            <w:pPr>
              <w:adjustRightInd w:val="0"/>
              <w:snapToGrid w:val="0"/>
              <w:jc w:val="center"/>
              <w:rPr>
                <w:rFonts w:eastAsia="仿宋"/>
                <w:color w:val="auto"/>
                <w:sz w:val="24"/>
                <w:szCs w:val="24"/>
              </w:rPr>
            </w:pPr>
            <w:r>
              <w:rPr>
                <w:rFonts w:eastAsia="仿宋"/>
                <w:color w:val="auto"/>
                <w:sz w:val="24"/>
                <w:szCs w:val="24"/>
              </w:rPr>
              <w:t>内容</w:t>
            </w:r>
          </w:p>
        </w:tc>
        <w:tc>
          <w:tcPr>
            <w:tcW w:w="7237" w:type="dxa"/>
            <w:noWrap w:val="0"/>
            <w:vAlign w:val="center"/>
          </w:tcPr>
          <w:p w14:paraId="522CE24D">
            <w:pPr>
              <w:adjustRightInd w:val="0"/>
              <w:snapToGrid w:val="0"/>
              <w:spacing w:before="120" w:beforeLines="50" w:line="360" w:lineRule="auto"/>
              <w:rPr>
                <w:rFonts w:eastAsia="仿宋"/>
                <w:color w:val="auto"/>
                <w:sz w:val="24"/>
                <w:szCs w:val="24"/>
              </w:rPr>
            </w:pPr>
            <w:r>
              <w:rPr>
                <w:rFonts w:eastAsia="仿宋"/>
                <w:color w:val="auto"/>
                <w:sz w:val="24"/>
                <w:szCs w:val="24"/>
              </w:rPr>
              <w:t>事件发生时间、地点、事件类型、影响范围；人员遇险情况；事件原因的初步判断；已采取的应急抢救方案、措施和进展情况。</w:t>
            </w:r>
          </w:p>
        </w:tc>
        <w:tc>
          <w:tcPr>
            <w:tcW w:w="418" w:type="dxa"/>
            <w:vMerge w:val="continue"/>
            <w:noWrap w:val="0"/>
            <w:vAlign w:val="center"/>
          </w:tcPr>
          <w:p w14:paraId="5B0E72A7">
            <w:pPr>
              <w:adjustRightInd w:val="0"/>
              <w:snapToGrid w:val="0"/>
              <w:jc w:val="center"/>
              <w:rPr>
                <w:rFonts w:eastAsia="仿宋"/>
                <w:color w:val="auto"/>
                <w:sz w:val="24"/>
                <w:szCs w:val="24"/>
              </w:rPr>
            </w:pPr>
          </w:p>
        </w:tc>
      </w:tr>
      <w:tr w14:paraId="56CFE5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53DC274F">
            <w:pPr>
              <w:adjustRightInd w:val="0"/>
              <w:snapToGrid w:val="0"/>
              <w:jc w:val="center"/>
              <w:rPr>
                <w:rFonts w:eastAsia="仿宋"/>
                <w:color w:val="auto"/>
                <w:sz w:val="24"/>
                <w:szCs w:val="24"/>
              </w:rPr>
            </w:pPr>
            <w:r>
              <w:rPr>
                <w:rFonts w:eastAsia="仿宋"/>
                <w:color w:val="auto"/>
                <w:sz w:val="24"/>
                <w:szCs w:val="24"/>
              </w:rPr>
              <w:t>预案</w:t>
            </w:r>
          </w:p>
          <w:p w14:paraId="03695842">
            <w:pPr>
              <w:adjustRightInd w:val="0"/>
              <w:snapToGrid w:val="0"/>
              <w:jc w:val="center"/>
              <w:rPr>
                <w:rFonts w:eastAsia="仿宋"/>
                <w:color w:val="auto"/>
                <w:sz w:val="24"/>
                <w:szCs w:val="24"/>
              </w:rPr>
            </w:pPr>
            <w:r>
              <w:rPr>
                <w:rFonts w:eastAsia="仿宋"/>
                <w:color w:val="auto"/>
                <w:sz w:val="24"/>
                <w:szCs w:val="24"/>
              </w:rPr>
              <w:t>启动</w:t>
            </w:r>
          </w:p>
        </w:tc>
        <w:tc>
          <w:tcPr>
            <w:tcW w:w="7237" w:type="dxa"/>
            <w:noWrap w:val="0"/>
            <w:vAlign w:val="center"/>
          </w:tcPr>
          <w:p w14:paraId="5762B46F">
            <w:pPr>
              <w:adjustRightInd w:val="0"/>
              <w:snapToGrid w:val="0"/>
              <w:spacing w:before="120" w:beforeLines="50" w:line="360" w:lineRule="auto"/>
              <w:rPr>
                <w:rFonts w:eastAsia="仿宋"/>
                <w:color w:val="auto"/>
                <w:sz w:val="24"/>
                <w:szCs w:val="24"/>
              </w:rPr>
            </w:pPr>
            <w:r>
              <w:rPr>
                <w:rFonts w:eastAsia="仿宋"/>
                <w:color w:val="auto"/>
                <w:sz w:val="24"/>
                <w:szCs w:val="24"/>
              </w:rPr>
              <w:t>依据突发环境事故风险等级启动相应级别的应急预案，上级应急预案启动时，下级应急预案同时启动。</w:t>
            </w:r>
          </w:p>
        </w:tc>
        <w:tc>
          <w:tcPr>
            <w:tcW w:w="418" w:type="dxa"/>
            <w:vMerge w:val="continue"/>
            <w:noWrap w:val="0"/>
            <w:vAlign w:val="center"/>
          </w:tcPr>
          <w:p w14:paraId="4B549C7A">
            <w:pPr>
              <w:adjustRightInd w:val="0"/>
              <w:snapToGrid w:val="0"/>
              <w:jc w:val="center"/>
              <w:rPr>
                <w:rFonts w:eastAsia="仿宋"/>
                <w:color w:val="auto"/>
                <w:sz w:val="24"/>
                <w:szCs w:val="24"/>
              </w:rPr>
            </w:pPr>
          </w:p>
        </w:tc>
      </w:tr>
      <w:tr w14:paraId="31259E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54EC87A9">
            <w:pPr>
              <w:adjustRightInd w:val="0"/>
              <w:snapToGrid w:val="0"/>
              <w:jc w:val="center"/>
              <w:rPr>
                <w:rFonts w:eastAsia="仿宋"/>
                <w:color w:val="auto"/>
                <w:sz w:val="24"/>
                <w:szCs w:val="24"/>
              </w:rPr>
            </w:pPr>
            <w:r>
              <w:rPr>
                <w:rFonts w:eastAsia="仿宋"/>
                <w:color w:val="auto"/>
                <w:sz w:val="24"/>
                <w:szCs w:val="24"/>
              </w:rPr>
              <w:t>排查</w:t>
            </w:r>
          </w:p>
        </w:tc>
        <w:tc>
          <w:tcPr>
            <w:tcW w:w="7237" w:type="dxa"/>
            <w:noWrap w:val="0"/>
            <w:vAlign w:val="center"/>
          </w:tcPr>
          <w:p w14:paraId="2BBD77E8">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（1）对于已明确事故企业的事故情形，由企业及各相关部门负责人尽快确定</w:t>
            </w:r>
            <w:r>
              <w:rPr>
                <w:rFonts w:hint="eastAsia" w:eastAsia="仿宋"/>
                <w:color w:val="auto"/>
                <w:sz w:val="24"/>
                <w:szCs w:val="24"/>
              </w:rPr>
              <w:t>液氨</w:t>
            </w:r>
            <w:r>
              <w:rPr>
                <w:rFonts w:eastAsia="仿宋"/>
                <w:color w:val="auto"/>
                <w:sz w:val="24"/>
                <w:szCs w:val="24"/>
              </w:rPr>
              <w:t>泄漏</w:t>
            </w:r>
            <w:r>
              <w:rPr>
                <w:rFonts w:hint="eastAsia" w:eastAsia="仿宋"/>
                <w:color w:val="auto"/>
                <w:sz w:val="24"/>
                <w:szCs w:val="24"/>
              </w:rPr>
              <w:t>点</w:t>
            </w:r>
            <w:r>
              <w:rPr>
                <w:rFonts w:eastAsia="仿宋"/>
                <w:color w:val="auto"/>
                <w:sz w:val="24"/>
                <w:szCs w:val="24"/>
              </w:rPr>
              <w:t>、泄漏原因、泄漏量和预期发展趋势；</w:t>
            </w:r>
          </w:p>
          <w:p w14:paraId="18A7ED57">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（2）对于接到群众举报，泄漏企业未知事故情形，和属地乡镇/街道人民政府应迅速对所辖范围内可能涉及</w:t>
            </w:r>
            <w:r>
              <w:rPr>
                <w:rFonts w:hint="eastAsia" w:eastAsia="仿宋"/>
                <w:color w:val="auto"/>
                <w:sz w:val="24"/>
                <w:szCs w:val="24"/>
              </w:rPr>
              <w:t>液氨</w:t>
            </w:r>
            <w:r>
              <w:rPr>
                <w:rFonts w:eastAsia="仿宋"/>
                <w:color w:val="auto"/>
                <w:sz w:val="24"/>
                <w:szCs w:val="24"/>
              </w:rPr>
              <w:t>泄漏、排放的企业逐一联系、调查，电话联系不上的要迅速派人前往；同时，根据</w:t>
            </w:r>
            <w:r>
              <w:rPr>
                <w:rFonts w:hint="eastAsia" w:eastAsia="仿宋"/>
                <w:color w:val="auto"/>
                <w:sz w:val="24"/>
                <w:szCs w:val="24"/>
              </w:rPr>
              <w:t>水体p</w:t>
            </w:r>
            <w:r>
              <w:rPr>
                <w:rFonts w:eastAsia="仿宋"/>
                <w:color w:val="auto"/>
                <w:sz w:val="24"/>
                <w:szCs w:val="24"/>
              </w:rPr>
              <w:t>H</w:t>
            </w:r>
            <w:r>
              <w:rPr>
                <w:rFonts w:hint="eastAsia" w:eastAsia="仿宋"/>
                <w:color w:val="auto"/>
                <w:sz w:val="24"/>
                <w:szCs w:val="24"/>
              </w:rPr>
              <w:t>或大气氨气的浓度变化特征进行快速溯源</w:t>
            </w:r>
            <w:r>
              <w:rPr>
                <w:rFonts w:eastAsia="仿宋"/>
                <w:color w:val="auto"/>
                <w:sz w:val="24"/>
                <w:szCs w:val="24"/>
              </w:rPr>
              <w:t>。</w:t>
            </w:r>
          </w:p>
        </w:tc>
        <w:tc>
          <w:tcPr>
            <w:tcW w:w="418" w:type="dxa"/>
            <w:vMerge w:val="continue"/>
            <w:noWrap w:val="0"/>
            <w:vAlign w:val="center"/>
          </w:tcPr>
          <w:p w14:paraId="38D2E20C">
            <w:pPr>
              <w:adjustRightInd w:val="0"/>
              <w:snapToGrid w:val="0"/>
              <w:jc w:val="center"/>
              <w:rPr>
                <w:rFonts w:eastAsia="仿宋"/>
                <w:color w:val="auto"/>
                <w:sz w:val="24"/>
                <w:szCs w:val="24"/>
              </w:rPr>
            </w:pPr>
          </w:p>
        </w:tc>
      </w:tr>
      <w:tr w14:paraId="4BC1F5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1445B4B1">
            <w:pPr>
              <w:adjustRightInd w:val="0"/>
              <w:snapToGrid w:val="0"/>
              <w:jc w:val="center"/>
              <w:rPr>
                <w:rFonts w:eastAsia="仿宋"/>
                <w:color w:val="auto"/>
                <w:sz w:val="24"/>
                <w:szCs w:val="24"/>
              </w:rPr>
            </w:pPr>
            <w:r>
              <w:rPr>
                <w:rFonts w:eastAsia="仿宋"/>
                <w:color w:val="auto"/>
                <w:sz w:val="24"/>
                <w:szCs w:val="24"/>
              </w:rPr>
              <w:t>控源截污</w:t>
            </w:r>
          </w:p>
        </w:tc>
        <w:tc>
          <w:tcPr>
            <w:tcW w:w="7237" w:type="dxa"/>
            <w:noWrap w:val="0"/>
            <w:vAlign w:val="center"/>
          </w:tcPr>
          <w:p w14:paraId="349158B3">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（1）泄压</w:t>
            </w:r>
            <w:r>
              <w:rPr>
                <w:rFonts w:hint="eastAsia" w:eastAsia="仿宋"/>
                <w:color w:val="auto"/>
                <w:sz w:val="24"/>
                <w:szCs w:val="24"/>
              </w:rPr>
              <w:t>、</w:t>
            </w:r>
            <w:r>
              <w:rPr>
                <w:rFonts w:eastAsia="仿宋"/>
                <w:color w:val="auto"/>
                <w:sz w:val="24"/>
                <w:szCs w:val="24"/>
              </w:rPr>
              <w:t>排空。当罐体开裂尺寸较大而无法止漏时，迅速将罐内液氨导入其他储罐中。</w:t>
            </w:r>
          </w:p>
          <w:p w14:paraId="2347AB35">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w:t>
            </w:r>
            <w:r>
              <w:rPr>
                <w:rFonts w:eastAsia="仿宋"/>
                <w:color w:val="auto"/>
                <w:sz w:val="24"/>
                <w:szCs w:val="24"/>
              </w:rPr>
              <w:t>2）大量泄漏时，用带压力的水和稀盐酸溶液，在事故现场布置多道水幕，在空中形成严密的水网，中和、稀释、溶解泄漏的氨气。构筑围堤或挖坑收容产生的废水。对附近的雨水口、地下管网入口进行封堵，防止可燃物进入造成二次事故。</w:t>
            </w:r>
          </w:p>
          <w:p w14:paraId="53BD03D9">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w:t>
            </w:r>
            <w:r>
              <w:rPr>
                <w:rFonts w:eastAsia="仿宋"/>
                <w:color w:val="auto"/>
                <w:sz w:val="24"/>
                <w:szCs w:val="24"/>
              </w:rPr>
              <w:t>3）体积较小的液氨钢瓶在倒氨过程中发生泄露，无器具堵漏或泄露无法控制时，可将其浸入水中。</w:t>
            </w:r>
          </w:p>
          <w:p w14:paraId="7B1E0FE4">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w:t>
            </w:r>
            <w:r>
              <w:rPr>
                <w:rFonts w:eastAsia="仿宋"/>
                <w:color w:val="auto"/>
                <w:sz w:val="24"/>
                <w:szCs w:val="24"/>
              </w:rPr>
              <w:t>4）器具堵漏：</w:t>
            </w:r>
            <w:r>
              <w:rPr>
                <w:rFonts w:hint="eastAsia" w:ascii="宋体" w:hAnsi="宋体" w:cs="宋体"/>
                <w:color w:val="auto"/>
                <w:sz w:val="24"/>
                <w:szCs w:val="24"/>
              </w:rPr>
              <w:t>①</w:t>
            </w:r>
            <w:r>
              <w:rPr>
                <w:rFonts w:eastAsia="仿宋"/>
                <w:color w:val="auto"/>
                <w:sz w:val="24"/>
                <w:szCs w:val="24"/>
              </w:rPr>
              <w:t>管道壁发生泄露，又不能关阀止漏时，可使用不同形状的堵漏垫、堵漏楔、堵漏胶、堵漏带等器具实施封堵</w:t>
            </w:r>
            <w:r>
              <w:rPr>
                <w:rFonts w:hint="eastAsia" w:eastAsia="仿宋"/>
                <w:color w:val="auto"/>
                <w:sz w:val="24"/>
                <w:szCs w:val="24"/>
              </w:rPr>
              <w:t>；</w:t>
            </w:r>
            <w:r>
              <w:rPr>
                <w:rFonts w:hint="eastAsia" w:ascii="宋体" w:hAnsi="宋体" w:cs="宋体"/>
                <w:color w:val="auto"/>
                <w:sz w:val="24"/>
                <w:szCs w:val="24"/>
              </w:rPr>
              <w:t>②</w:t>
            </w:r>
            <w:r>
              <w:rPr>
                <w:rFonts w:eastAsia="仿宋"/>
                <w:color w:val="auto"/>
                <w:sz w:val="24"/>
                <w:szCs w:val="24"/>
              </w:rPr>
              <w:t>微孔泄露可以用螺丝钉加粘合剂旋入孔内的办法封堵</w:t>
            </w:r>
            <w:r>
              <w:rPr>
                <w:rFonts w:hint="eastAsia" w:eastAsia="仿宋"/>
                <w:color w:val="auto"/>
                <w:sz w:val="24"/>
                <w:szCs w:val="24"/>
              </w:rPr>
              <w:t>；</w:t>
            </w:r>
            <w:r>
              <w:rPr>
                <w:rFonts w:hint="eastAsia" w:ascii="宋体" w:hAnsi="宋体" w:cs="宋体"/>
                <w:color w:val="auto"/>
                <w:sz w:val="24"/>
                <w:szCs w:val="24"/>
              </w:rPr>
              <w:t>③</w:t>
            </w:r>
            <w:r>
              <w:rPr>
                <w:rFonts w:eastAsia="仿宋"/>
                <w:color w:val="auto"/>
                <w:sz w:val="24"/>
                <w:szCs w:val="24"/>
              </w:rPr>
              <w:t>罐壁撕裂泄露可以用充气袋、充气垫等专用器具从外部包裹堵漏</w:t>
            </w:r>
            <w:r>
              <w:rPr>
                <w:rFonts w:hint="eastAsia" w:eastAsia="仿宋"/>
                <w:color w:val="auto"/>
                <w:sz w:val="24"/>
                <w:szCs w:val="24"/>
              </w:rPr>
              <w:t>；</w:t>
            </w:r>
            <w:r>
              <w:rPr>
                <w:rFonts w:hint="eastAsia" w:ascii="宋体" w:hAnsi="宋体" w:cs="宋体"/>
                <w:color w:val="auto"/>
                <w:sz w:val="24"/>
                <w:szCs w:val="24"/>
              </w:rPr>
              <w:t>④</w:t>
            </w:r>
            <w:r>
              <w:rPr>
                <w:rFonts w:eastAsia="仿宋"/>
                <w:color w:val="auto"/>
                <w:sz w:val="24"/>
                <w:szCs w:val="24"/>
              </w:rPr>
              <w:t>带压管道泄露可以用捆绑式充气堵漏袋，或使用金属外壳内衬橡胶垫等专用器具施行堵漏</w:t>
            </w:r>
            <w:r>
              <w:rPr>
                <w:rFonts w:hint="eastAsia" w:eastAsia="仿宋"/>
                <w:color w:val="auto"/>
                <w:sz w:val="24"/>
                <w:szCs w:val="24"/>
              </w:rPr>
              <w:t>；</w:t>
            </w:r>
            <w:r>
              <w:rPr>
                <w:rFonts w:hint="eastAsia" w:ascii="宋体" w:hAnsi="宋体" w:cs="宋体"/>
                <w:color w:val="auto"/>
                <w:sz w:val="24"/>
                <w:szCs w:val="24"/>
              </w:rPr>
              <w:t>⑤</w:t>
            </w:r>
            <w:r>
              <w:rPr>
                <w:rFonts w:eastAsia="仿宋"/>
                <w:color w:val="auto"/>
                <w:sz w:val="24"/>
                <w:szCs w:val="24"/>
              </w:rPr>
              <w:t>阀门、法兰盘或法兰垫片发生泄露，可用不同型号的法兰夹具并注射密封胶的方法实施封堵，也可直接使用专用阀门堵漏工具实施堵漏</w:t>
            </w:r>
            <w:r>
              <w:rPr>
                <w:rFonts w:hint="eastAsia" w:eastAsia="仿宋"/>
                <w:color w:val="auto"/>
                <w:sz w:val="24"/>
                <w:szCs w:val="24"/>
              </w:rPr>
              <w:t>；</w:t>
            </w:r>
            <w:r>
              <w:rPr>
                <w:rFonts w:hint="eastAsia" w:ascii="宋体" w:hAnsi="宋体" w:cs="宋体"/>
                <w:color w:val="auto"/>
                <w:sz w:val="24"/>
                <w:szCs w:val="24"/>
              </w:rPr>
              <w:t>⑥</w:t>
            </w:r>
            <w:r>
              <w:rPr>
                <w:rFonts w:eastAsia="仿宋"/>
                <w:color w:val="auto"/>
                <w:sz w:val="24"/>
                <w:szCs w:val="24"/>
              </w:rPr>
              <w:t>对液氨钢瓶可先用密封器堵漏，然后用专用工具处置。</w:t>
            </w:r>
          </w:p>
          <w:p w14:paraId="38D0ABBE">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（5）若泄漏液氨或氨水进入外部水环境时，迅速筑坝，切断受污染水体的流动，同时向水体中投加稀盐酸进行中和处理；</w:t>
            </w:r>
          </w:p>
          <w:p w14:paraId="6BD1D031">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（6）若泄漏液氨造成土壤污染时，</w:t>
            </w:r>
            <w:r>
              <w:rPr>
                <w:rFonts w:eastAsia="仿宋"/>
                <w:color w:val="auto"/>
                <w:sz w:val="24"/>
                <w:szCs w:val="24"/>
              </w:rPr>
              <w:t>迅速将被</w:t>
            </w:r>
            <w:r>
              <w:rPr>
                <w:rFonts w:hint="eastAsia" w:eastAsia="仿宋"/>
                <w:color w:val="auto"/>
                <w:sz w:val="24"/>
                <w:szCs w:val="24"/>
              </w:rPr>
              <w:t>污染土壤收集起来，转移到安全地带。</w:t>
            </w:r>
          </w:p>
        </w:tc>
        <w:tc>
          <w:tcPr>
            <w:tcW w:w="418" w:type="dxa"/>
            <w:vMerge w:val="continue"/>
            <w:noWrap w:val="0"/>
            <w:vAlign w:val="center"/>
          </w:tcPr>
          <w:p w14:paraId="45EEBD46">
            <w:pPr>
              <w:adjustRightInd w:val="0"/>
              <w:snapToGrid w:val="0"/>
              <w:jc w:val="center"/>
              <w:rPr>
                <w:rFonts w:eastAsia="仿宋"/>
                <w:color w:val="auto"/>
                <w:sz w:val="24"/>
                <w:szCs w:val="24"/>
              </w:rPr>
            </w:pPr>
          </w:p>
        </w:tc>
      </w:tr>
      <w:tr w14:paraId="5CAD5E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DE35C40">
            <w:pPr>
              <w:adjustRightInd w:val="0"/>
              <w:snapToGrid w:val="0"/>
              <w:jc w:val="center"/>
              <w:rPr>
                <w:rFonts w:eastAsia="仿宋"/>
                <w:color w:val="auto"/>
                <w:sz w:val="24"/>
                <w:szCs w:val="24"/>
              </w:rPr>
            </w:pPr>
            <w:r>
              <w:rPr>
                <w:rFonts w:eastAsia="仿宋"/>
                <w:color w:val="auto"/>
                <w:sz w:val="24"/>
                <w:szCs w:val="24"/>
              </w:rPr>
              <w:t>检测</w:t>
            </w:r>
          </w:p>
        </w:tc>
        <w:tc>
          <w:tcPr>
            <w:tcW w:w="7237" w:type="dxa"/>
            <w:noWrap w:val="0"/>
            <w:vAlign w:val="center"/>
          </w:tcPr>
          <w:p w14:paraId="1B68DC93">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（1）由专业技术人员进行现场检测；</w:t>
            </w:r>
          </w:p>
          <w:p w14:paraId="1A0161CE">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w:t>
            </w:r>
            <w:r>
              <w:rPr>
                <w:rFonts w:hint="eastAsia" w:eastAsia="仿宋"/>
                <w:color w:val="auto"/>
                <w:sz w:val="24"/>
                <w:szCs w:val="24"/>
              </w:rPr>
              <w:t>环境空气：</w:t>
            </w:r>
            <w:r>
              <w:rPr>
                <w:rFonts w:eastAsia="仿宋"/>
                <w:color w:val="auto"/>
                <w:sz w:val="24"/>
                <w:szCs w:val="24"/>
              </w:rPr>
              <w:t>以泄漏点为中心，在下风向按一定间隔的扇形或圆形布点，并根据污染物的特性在不同高度采样，同时在事故点的上风向适当位置布设对照点；在可能受污染影响的居民住宅区或人群活动区等敏感点必须设置采样点，采样过程中应注意风向变化，及时调整采样点位置</w:t>
            </w:r>
            <w:r>
              <w:rPr>
                <w:rFonts w:hint="eastAsia" w:eastAsia="仿宋"/>
                <w:color w:val="auto"/>
                <w:sz w:val="24"/>
                <w:szCs w:val="24"/>
              </w:rPr>
              <w:t>，观测大气中氨气含量分布与变化</w:t>
            </w:r>
            <w:r>
              <w:rPr>
                <w:rFonts w:eastAsia="仿宋"/>
                <w:color w:val="auto"/>
                <w:sz w:val="24"/>
                <w:szCs w:val="24"/>
              </w:rPr>
              <w:t>。</w:t>
            </w:r>
          </w:p>
          <w:p w14:paraId="4CF33F64">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w:t>
            </w:r>
            <w:r>
              <w:rPr>
                <w:rFonts w:hint="eastAsia" w:eastAsia="仿宋"/>
                <w:color w:val="auto"/>
                <w:sz w:val="24"/>
                <w:szCs w:val="24"/>
              </w:rPr>
              <w:t>水环境：在事故发生地及其下游布点，同时在事故发生地上游一定距离布设对照点，监测频次建议每天4次，观测水体氨氮含量或p</w:t>
            </w:r>
            <w:r>
              <w:rPr>
                <w:rFonts w:eastAsia="仿宋"/>
                <w:color w:val="auto"/>
                <w:sz w:val="24"/>
                <w:szCs w:val="24"/>
              </w:rPr>
              <w:t>H</w:t>
            </w:r>
            <w:r>
              <w:rPr>
                <w:rFonts w:hint="eastAsia" w:eastAsia="仿宋"/>
                <w:color w:val="auto"/>
                <w:sz w:val="24"/>
                <w:szCs w:val="24"/>
              </w:rPr>
              <w:t>值在不同位置及其随时间的变化</w:t>
            </w:r>
            <w:r>
              <w:rPr>
                <w:rFonts w:eastAsia="仿宋"/>
                <w:color w:val="auto"/>
                <w:sz w:val="24"/>
                <w:szCs w:val="24"/>
              </w:rPr>
              <w:t>。</w:t>
            </w:r>
            <w:r>
              <w:rPr>
                <w:rFonts w:hint="eastAsia" w:eastAsia="仿宋"/>
                <w:color w:val="auto"/>
                <w:sz w:val="24"/>
                <w:szCs w:val="24"/>
              </w:rPr>
              <w:t>根据需要</w:t>
            </w:r>
            <w:r>
              <w:rPr>
                <w:rFonts w:eastAsia="仿宋"/>
                <w:color w:val="auto"/>
                <w:sz w:val="24"/>
                <w:szCs w:val="24"/>
              </w:rPr>
              <w:t>可适当增加或降低监测频次</w:t>
            </w:r>
            <w:r>
              <w:rPr>
                <w:rFonts w:hint="eastAsia" w:eastAsia="仿宋"/>
                <w:color w:val="auto"/>
                <w:sz w:val="24"/>
                <w:szCs w:val="24"/>
              </w:rPr>
              <w:t>。</w:t>
            </w:r>
          </w:p>
          <w:p w14:paraId="1358587D">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（4）土壤环境：在事故发生地为中心，按一定间隔圆形布点采样，并根据污染物的特性在不同深度采样，观测土壤的氨氮或p</w:t>
            </w:r>
            <w:r>
              <w:rPr>
                <w:rFonts w:eastAsia="仿宋"/>
                <w:color w:val="auto"/>
                <w:sz w:val="24"/>
                <w:szCs w:val="24"/>
              </w:rPr>
              <w:t>H</w:t>
            </w:r>
            <w:r>
              <w:rPr>
                <w:rFonts w:hint="eastAsia" w:eastAsia="仿宋"/>
                <w:color w:val="auto"/>
                <w:sz w:val="24"/>
                <w:szCs w:val="24"/>
              </w:rPr>
              <w:t>值。同时，设置对照样。监测频次一般为事故发生时1次，应急解除后1次，场地污染恢复后1次。</w:t>
            </w:r>
          </w:p>
        </w:tc>
        <w:tc>
          <w:tcPr>
            <w:tcW w:w="418" w:type="dxa"/>
            <w:vMerge w:val="continue"/>
            <w:noWrap w:val="0"/>
            <w:vAlign w:val="center"/>
          </w:tcPr>
          <w:p w14:paraId="19891371">
            <w:pPr>
              <w:adjustRightInd w:val="0"/>
              <w:snapToGrid w:val="0"/>
              <w:jc w:val="center"/>
              <w:rPr>
                <w:rFonts w:eastAsia="仿宋"/>
                <w:color w:val="auto"/>
                <w:sz w:val="24"/>
                <w:szCs w:val="24"/>
              </w:rPr>
            </w:pPr>
          </w:p>
        </w:tc>
      </w:tr>
      <w:tr w14:paraId="6F6D3B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4836A66F">
            <w:pPr>
              <w:adjustRightInd w:val="0"/>
              <w:snapToGrid w:val="0"/>
              <w:jc w:val="center"/>
              <w:rPr>
                <w:rFonts w:eastAsia="仿宋"/>
                <w:color w:val="auto"/>
                <w:sz w:val="24"/>
                <w:szCs w:val="24"/>
              </w:rPr>
            </w:pPr>
            <w:r>
              <w:rPr>
                <w:rFonts w:eastAsia="仿宋"/>
                <w:color w:val="auto"/>
                <w:sz w:val="24"/>
                <w:szCs w:val="24"/>
              </w:rPr>
              <w:t>后勤保障</w:t>
            </w:r>
          </w:p>
        </w:tc>
        <w:tc>
          <w:tcPr>
            <w:tcW w:w="7237" w:type="dxa"/>
            <w:noWrap w:val="0"/>
            <w:vAlign w:val="center"/>
          </w:tcPr>
          <w:p w14:paraId="409B754A">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（1）应急车辆的安排和调配；</w:t>
            </w:r>
          </w:p>
          <w:p w14:paraId="69DB9BB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（2）应急救援物资及临时人员安置物资调拨和紧急配送；</w:t>
            </w:r>
          </w:p>
          <w:p w14:paraId="371E6BA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（3）交通调度；</w:t>
            </w:r>
          </w:p>
          <w:p w14:paraId="5EC46A58">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（4）电力、通讯、燃气和饮水保障；</w:t>
            </w:r>
          </w:p>
          <w:p w14:paraId="4CB205A6">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（5）现场应急工作人员食宿等基本生活保障；</w:t>
            </w:r>
          </w:p>
          <w:p w14:paraId="3003E12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（5）提供应急救援资金。</w:t>
            </w:r>
          </w:p>
        </w:tc>
        <w:tc>
          <w:tcPr>
            <w:tcW w:w="418" w:type="dxa"/>
            <w:vMerge w:val="continue"/>
            <w:noWrap w:val="0"/>
            <w:vAlign w:val="center"/>
          </w:tcPr>
          <w:p w14:paraId="7AEFA0AA">
            <w:pPr>
              <w:adjustRightInd w:val="0"/>
              <w:snapToGrid w:val="0"/>
              <w:jc w:val="center"/>
              <w:rPr>
                <w:rFonts w:eastAsia="仿宋"/>
                <w:color w:val="auto"/>
                <w:sz w:val="24"/>
                <w:szCs w:val="24"/>
              </w:rPr>
            </w:pPr>
          </w:p>
        </w:tc>
      </w:tr>
      <w:tr w14:paraId="417DE0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0EE30C13">
            <w:pPr>
              <w:adjustRightInd w:val="0"/>
              <w:snapToGrid w:val="0"/>
              <w:jc w:val="center"/>
              <w:rPr>
                <w:rFonts w:eastAsia="仿宋"/>
                <w:color w:val="auto"/>
                <w:sz w:val="24"/>
                <w:szCs w:val="24"/>
              </w:rPr>
            </w:pPr>
            <w:r>
              <w:rPr>
                <w:rFonts w:eastAsia="仿宋"/>
                <w:color w:val="auto"/>
                <w:sz w:val="24"/>
                <w:szCs w:val="24"/>
              </w:rPr>
              <w:t>恢复处置</w:t>
            </w:r>
          </w:p>
        </w:tc>
        <w:tc>
          <w:tcPr>
            <w:tcW w:w="7237" w:type="dxa"/>
            <w:noWrap w:val="0"/>
            <w:vAlign w:val="center"/>
          </w:tcPr>
          <w:p w14:paraId="10A538E2">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（1）群众回迁；</w:t>
            </w:r>
          </w:p>
          <w:p w14:paraId="78C1A0A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（2）工艺设施维修、鉴定和恢复生产；</w:t>
            </w:r>
          </w:p>
          <w:p w14:paraId="097334EE">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（3）水体恢复；</w:t>
            </w:r>
          </w:p>
          <w:p w14:paraId="3CC71369">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（4）土壤恢复；</w:t>
            </w:r>
          </w:p>
          <w:p w14:paraId="1D890788">
            <w:pPr>
              <w:adjustRightInd w:val="0"/>
              <w:snapToGrid w:val="0"/>
              <w:spacing w:line="360" w:lineRule="auto"/>
              <w:ind w:left="600" w:hanging="600" w:hangingChars="250"/>
              <w:rPr>
                <w:rFonts w:eastAsia="仿宋"/>
                <w:color w:val="auto"/>
                <w:sz w:val="24"/>
                <w:szCs w:val="24"/>
              </w:rPr>
            </w:pPr>
            <w:r>
              <w:rPr>
                <w:rFonts w:eastAsia="仿宋"/>
                <w:color w:val="auto"/>
                <w:sz w:val="24"/>
                <w:szCs w:val="24"/>
              </w:rPr>
              <w:t>（</w:t>
            </w:r>
            <w:r>
              <w:rPr>
                <w:rFonts w:hint="eastAsia" w:eastAsia="仿宋"/>
                <w:color w:val="auto"/>
                <w:sz w:val="24"/>
                <w:szCs w:val="24"/>
              </w:rPr>
              <w:t>5</w:t>
            </w:r>
            <w:r>
              <w:rPr>
                <w:rFonts w:eastAsia="仿宋"/>
                <w:color w:val="auto"/>
                <w:sz w:val="24"/>
                <w:szCs w:val="24"/>
              </w:rPr>
              <w:t>）责任赔偿。</w:t>
            </w:r>
          </w:p>
        </w:tc>
        <w:tc>
          <w:tcPr>
            <w:tcW w:w="418" w:type="dxa"/>
            <w:vMerge w:val="continue"/>
            <w:noWrap w:val="0"/>
            <w:vAlign w:val="center"/>
          </w:tcPr>
          <w:p w14:paraId="5C740E71">
            <w:pPr>
              <w:adjustRightInd w:val="0"/>
              <w:snapToGrid w:val="0"/>
              <w:jc w:val="center"/>
              <w:rPr>
                <w:rFonts w:eastAsia="仿宋"/>
                <w:color w:val="auto"/>
                <w:sz w:val="24"/>
                <w:szCs w:val="24"/>
              </w:rPr>
            </w:pPr>
          </w:p>
        </w:tc>
      </w:tr>
      <w:tr w14:paraId="3CDF1B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1ADC387A">
            <w:pPr>
              <w:adjustRightInd w:val="0"/>
              <w:snapToGrid w:val="0"/>
              <w:jc w:val="center"/>
              <w:rPr>
                <w:rFonts w:eastAsia="仿宋"/>
                <w:color w:val="auto"/>
                <w:sz w:val="24"/>
                <w:szCs w:val="24"/>
              </w:rPr>
            </w:pPr>
            <w:r>
              <w:rPr>
                <w:rFonts w:eastAsia="仿宋"/>
                <w:color w:val="auto"/>
                <w:sz w:val="24"/>
                <w:szCs w:val="24"/>
              </w:rPr>
              <w:t>注意事项</w:t>
            </w:r>
          </w:p>
        </w:tc>
        <w:tc>
          <w:tcPr>
            <w:tcW w:w="7237" w:type="dxa"/>
            <w:noWrap w:val="0"/>
            <w:vAlign w:val="center"/>
          </w:tcPr>
          <w:p w14:paraId="621ADD33">
            <w:pPr>
              <w:adjustRightInd w:val="0"/>
              <w:snapToGrid w:val="0"/>
              <w:spacing w:before="120" w:beforeLines="50" w:line="360" w:lineRule="auto"/>
              <w:rPr>
                <w:rFonts w:eastAsia="仿宋"/>
                <w:color w:val="auto"/>
                <w:sz w:val="24"/>
                <w:szCs w:val="24"/>
              </w:rPr>
            </w:pPr>
            <w:r>
              <w:rPr>
                <w:rFonts w:hint="eastAsia" w:eastAsia="仿宋"/>
                <w:color w:val="auto"/>
                <w:sz w:val="24"/>
                <w:szCs w:val="24"/>
              </w:rPr>
              <w:t>作业时必须严格执行防火、防静电、防中毒等安全技术要求。佩戴防毒面具。空气呼吸器、穿全密封阻燃防化服。堵较大泄露时，应内穿棉衣裤，外穿防化服，在处理液态氨泄漏时应佩戴防冻伤防护用品。</w:t>
            </w:r>
          </w:p>
        </w:tc>
        <w:tc>
          <w:tcPr>
            <w:tcW w:w="418" w:type="dxa"/>
            <w:noWrap w:val="0"/>
            <w:vAlign w:val="center"/>
          </w:tcPr>
          <w:p w14:paraId="585ABB69">
            <w:pPr>
              <w:adjustRightInd w:val="0"/>
              <w:snapToGrid w:val="0"/>
              <w:jc w:val="center"/>
              <w:rPr>
                <w:rFonts w:eastAsia="仿宋"/>
                <w:color w:val="auto"/>
                <w:sz w:val="24"/>
                <w:szCs w:val="24"/>
              </w:rPr>
            </w:pPr>
          </w:p>
        </w:tc>
      </w:tr>
    </w:tbl>
    <w:p w14:paraId="2F579315">
      <w:pPr>
        <w:adjustRightInd w:val="0"/>
        <w:snapToGrid w:val="0"/>
        <w:spacing w:before="120" w:after="120" w:line="360" w:lineRule="auto"/>
        <w:jc w:val="center"/>
        <w:rPr>
          <w:rFonts w:ascii="仿宋" w:hAnsi="仿宋" w:eastAsia="仿宋"/>
          <w:color w:val="auto"/>
          <w:sz w:val="24"/>
          <w:szCs w:val="24"/>
        </w:rPr>
      </w:pPr>
      <w:r>
        <w:rPr>
          <w:rFonts w:eastAsia="仿宋"/>
          <w:color w:val="auto"/>
          <w:sz w:val="24"/>
          <w:szCs w:val="24"/>
        </w:rPr>
        <w:br w:type="page"/>
      </w:r>
      <w:r>
        <w:rPr>
          <w:rFonts w:hint="eastAsia" w:ascii="仿宋" w:hAnsi="仿宋" w:eastAsia="仿宋"/>
          <w:color w:val="auto"/>
          <w:sz w:val="24"/>
          <w:szCs w:val="24"/>
        </w:rPr>
        <w:t>天然气泄漏事故现场应急处置卡</w:t>
      </w:r>
    </w:p>
    <w:tbl>
      <w:tblPr>
        <w:tblStyle w:val="21"/>
        <w:tblW w:w="8359"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6946"/>
        <w:gridCol w:w="709"/>
      </w:tblGrid>
      <w:tr w14:paraId="7AC420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4" w:type="dxa"/>
            <w:noWrap w:val="0"/>
            <w:vAlign w:val="center"/>
          </w:tcPr>
          <w:p w14:paraId="32F2838A">
            <w:pPr>
              <w:adjustRightInd w:val="0"/>
              <w:snapToGrid w:val="0"/>
              <w:jc w:val="center"/>
              <w:rPr>
                <w:rFonts w:eastAsia="仿宋"/>
                <w:color w:val="auto"/>
                <w:sz w:val="24"/>
                <w:szCs w:val="24"/>
              </w:rPr>
            </w:pPr>
            <w:r>
              <w:rPr>
                <w:rFonts w:eastAsia="仿宋"/>
                <w:color w:val="auto"/>
                <w:sz w:val="24"/>
                <w:szCs w:val="24"/>
              </w:rPr>
              <w:t>类别</w:t>
            </w:r>
          </w:p>
        </w:tc>
        <w:tc>
          <w:tcPr>
            <w:tcW w:w="7655" w:type="dxa"/>
            <w:gridSpan w:val="2"/>
            <w:noWrap w:val="0"/>
            <w:vAlign w:val="center"/>
          </w:tcPr>
          <w:p w14:paraId="13981F55">
            <w:pPr>
              <w:adjustRightInd w:val="0"/>
              <w:snapToGrid w:val="0"/>
              <w:jc w:val="center"/>
              <w:rPr>
                <w:rFonts w:eastAsia="仿宋"/>
                <w:color w:val="auto"/>
                <w:sz w:val="24"/>
                <w:szCs w:val="24"/>
              </w:rPr>
            </w:pPr>
            <w:r>
              <w:rPr>
                <w:rFonts w:eastAsia="仿宋"/>
                <w:color w:val="auto"/>
                <w:sz w:val="24"/>
                <w:szCs w:val="24"/>
              </w:rPr>
              <w:t>内容</w:t>
            </w:r>
          </w:p>
        </w:tc>
      </w:tr>
      <w:tr w14:paraId="6024C2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359" w:type="dxa"/>
            <w:gridSpan w:val="3"/>
            <w:noWrap w:val="0"/>
            <w:vAlign w:val="center"/>
          </w:tcPr>
          <w:p w14:paraId="340D9842">
            <w:pPr>
              <w:adjustRightInd w:val="0"/>
              <w:snapToGrid w:val="0"/>
              <w:spacing w:before="120" w:beforeLines="50" w:line="360" w:lineRule="auto"/>
              <w:rPr>
                <w:rFonts w:eastAsia="仿宋"/>
                <w:color w:val="auto"/>
                <w:sz w:val="24"/>
                <w:szCs w:val="24"/>
              </w:rPr>
            </w:pPr>
            <w:r>
              <w:rPr>
                <w:rFonts w:eastAsia="仿宋"/>
                <w:color w:val="auto"/>
                <w:sz w:val="24"/>
                <w:szCs w:val="24"/>
              </w:rPr>
              <w:t>风险描述：</w:t>
            </w:r>
            <w:r>
              <w:rPr>
                <w:rFonts w:hint="eastAsia" w:eastAsia="仿宋"/>
                <w:color w:val="auto"/>
                <w:sz w:val="24"/>
                <w:szCs w:val="24"/>
              </w:rPr>
              <w:t>天然气是一种易燃易爆气体，比空气轻。如发生泄漏能迅速四处扩散，引起人身中毒、燃烧和爆炸等风险。</w:t>
            </w:r>
          </w:p>
        </w:tc>
      </w:tr>
      <w:tr w14:paraId="0CFF23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155E7489">
            <w:pPr>
              <w:adjustRightInd w:val="0"/>
              <w:snapToGrid w:val="0"/>
              <w:jc w:val="center"/>
              <w:rPr>
                <w:rFonts w:eastAsia="仿宋"/>
                <w:color w:val="auto"/>
                <w:sz w:val="24"/>
                <w:szCs w:val="24"/>
              </w:rPr>
            </w:pPr>
            <w:r>
              <w:rPr>
                <w:rFonts w:eastAsia="仿宋"/>
                <w:color w:val="auto"/>
                <w:sz w:val="24"/>
                <w:szCs w:val="24"/>
              </w:rPr>
              <w:t>应急</w:t>
            </w:r>
          </w:p>
          <w:p w14:paraId="378A2714">
            <w:pPr>
              <w:adjustRightInd w:val="0"/>
              <w:snapToGrid w:val="0"/>
              <w:jc w:val="center"/>
              <w:rPr>
                <w:rFonts w:eastAsia="仿宋"/>
                <w:color w:val="auto"/>
                <w:sz w:val="24"/>
                <w:szCs w:val="24"/>
              </w:rPr>
            </w:pPr>
            <w:r>
              <w:rPr>
                <w:rFonts w:eastAsia="仿宋"/>
                <w:color w:val="auto"/>
                <w:sz w:val="24"/>
                <w:szCs w:val="24"/>
              </w:rPr>
              <w:t>程序</w:t>
            </w:r>
          </w:p>
        </w:tc>
        <w:tc>
          <w:tcPr>
            <w:tcW w:w="6946" w:type="dxa"/>
            <w:noWrap w:val="0"/>
            <w:vAlign w:val="center"/>
          </w:tcPr>
          <w:p w14:paraId="49A0556A">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（1）接警、确定事件级别，并上报上级部门；</w:t>
            </w:r>
          </w:p>
          <w:p w14:paraId="50261A7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（2）由相应级别的突发环境事件应急指挥部启动应急预案，赴现场指挥应急救援工作；</w:t>
            </w:r>
          </w:p>
          <w:p w14:paraId="634D046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（3）若事件的影响超出企业范围或可能超出企业范围，由乡镇、街道/责任人负责组织专业人员进行先期处置，控制事态发展；在上级指挥人员到场后，乡镇、街道/责任人负责各项应急处置措施、方案的落实；</w:t>
            </w:r>
          </w:p>
          <w:p w14:paraId="63570849">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（4）确定泄漏时间或预计持续时间，估算泄漏量，对污染物扩散趋势进行预测。同时，制订监测方案，开展应急监测，尽快确定污染范围和程度；</w:t>
            </w:r>
          </w:p>
          <w:p w14:paraId="7791AC2D">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（5）确定事发地周边环境风险受体的分布，及时对可能受到影响的群众进行疏散；</w:t>
            </w:r>
          </w:p>
          <w:p w14:paraId="764D1DF5">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（6）应急保障组负责应急救援物资的协调、补充和供应，应急疏散群众的基本生活保障；</w:t>
            </w:r>
          </w:p>
          <w:p w14:paraId="556531CF">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（7）制定工艺、设备和事故现场的恢复措施。</w:t>
            </w:r>
          </w:p>
        </w:tc>
        <w:tc>
          <w:tcPr>
            <w:tcW w:w="709" w:type="dxa"/>
            <w:noWrap w:val="0"/>
            <w:vAlign w:val="center"/>
          </w:tcPr>
          <w:p w14:paraId="39258AC3">
            <w:pPr>
              <w:adjustRightInd w:val="0"/>
              <w:snapToGrid w:val="0"/>
              <w:jc w:val="center"/>
              <w:rPr>
                <w:rFonts w:eastAsia="仿宋"/>
                <w:color w:val="auto"/>
                <w:sz w:val="24"/>
                <w:szCs w:val="24"/>
              </w:rPr>
            </w:pPr>
            <w:r>
              <w:rPr>
                <w:rFonts w:eastAsia="仿宋"/>
                <w:color w:val="auto"/>
                <w:sz w:val="24"/>
                <w:szCs w:val="24"/>
              </w:rPr>
              <w:t>责任</w:t>
            </w:r>
          </w:p>
          <w:p w14:paraId="39D19CEA">
            <w:pPr>
              <w:adjustRightInd w:val="0"/>
              <w:snapToGrid w:val="0"/>
              <w:jc w:val="center"/>
              <w:rPr>
                <w:rFonts w:eastAsia="仿宋"/>
                <w:color w:val="auto"/>
                <w:sz w:val="24"/>
                <w:szCs w:val="24"/>
              </w:rPr>
            </w:pPr>
            <w:r>
              <w:rPr>
                <w:rFonts w:eastAsia="仿宋"/>
                <w:color w:val="auto"/>
                <w:sz w:val="24"/>
                <w:szCs w:val="24"/>
              </w:rPr>
              <w:t>岗位</w:t>
            </w:r>
          </w:p>
        </w:tc>
      </w:tr>
      <w:tr w14:paraId="4A03D7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7D2DAB98">
            <w:pPr>
              <w:adjustRightInd w:val="0"/>
              <w:snapToGrid w:val="0"/>
              <w:jc w:val="center"/>
              <w:rPr>
                <w:rFonts w:eastAsia="仿宋"/>
                <w:color w:val="auto"/>
                <w:sz w:val="24"/>
                <w:szCs w:val="24"/>
              </w:rPr>
            </w:pPr>
            <w:r>
              <w:rPr>
                <w:rFonts w:eastAsia="仿宋"/>
                <w:color w:val="auto"/>
                <w:sz w:val="24"/>
                <w:szCs w:val="24"/>
              </w:rPr>
              <w:t>报告</w:t>
            </w:r>
          </w:p>
          <w:p w14:paraId="1C839EBC">
            <w:pPr>
              <w:adjustRightInd w:val="0"/>
              <w:snapToGrid w:val="0"/>
              <w:jc w:val="center"/>
              <w:rPr>
                <w:rFonts w:eastAsia="仿宋"/>
                <w:color w:val="auto"/>
                <w:sz w:val="24"/>
                <w:szCs w:val="24"/>
              </w:rPr>
            </w:pPr>
            <w:r>
              <w:rPr>
                <w:rFonts w:eastAsia="仿宋"/>
                <w:color w:val="auto"/>
                <w:sz w:val="24"/>
                <w:szCs w:val="24"/>
              </w:rPr>
              <w:t>程序</w:t>
            </w:r>
          </w:p>
        </w:tc>
        <w:tc>
          <w:tcPr>
            <w:tcW w:w="6946" w:type="dxa"/>
            <w:noWrap w:val="0"/>
            <w:vAlign w:val="center"/>
          </w:tcPr>
          <w:p w14:paraId="4FDC7DEA">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（1）泄漏事故发生后，最早发现者和事故部门应立即报告部门负责人和企业应急救援办公室；</w:t>
            </w:r>
          </w:p>
          <w:p w14:paraId="2C53A0A9">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（2）企业应急救援办公室接到报告并核实后，报告企业应急救援指挥部、应急救援指挥部、乡镇/街道人民政府或乡镇/街道应急指挥部；</w:t>
            </w:r>
          </w:p>
          <w:p w14:paraId="4AD5E781">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（3）企业、、乡镇/街道应急指挥部办公室对事件的性质和级别做出初步认定，总指挥根据事件的级别确定是否上报；</w:t>
            </w:r>
          </w:p>
          <w:p w14:paraId="4B9FF3B8">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（4）对初步认定为一般或较大的突发环境事件，应在接报4后小时内上报</w:t>
            </w:r>
            <w:r>
              <w:rPr>
                <w:rFonts w:hint="eastAsia" w:eastAsia="仿宋"/>
                <w:color w:val="auto"/>
                <w:sz w:val="24"/>
                <w:szCs w:val="24"/>
              </w:rPr>
              <w:t>额尔古纳市</w:t>
            </w:r>
            <w:r>
              <w:rPr>
                <w:rFonts w:eastAsia="仿宋"/>
                <w:color w:val="auto"/>
                <w:sz w:val="24"/>
                <w:szCs w:val="24"/>
              </w:rPr>
              <w:t>突发环境事件应急办公室；</w:t>
            </w:r>
          </w:p>
          <w:p w14:paraId="3FD0C09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w:t>
            </w:r>
            <w:r>
              <w:rPr>
                <w:rFonts w:hint="eastAsia" w:eastAsia="仿宋"/>
                <w:color w:val="auto"/>
                <w:sz w:val="24"/>
                <w:szCs w:val="24"/>
              </w:rPr>
              <w:t>额尔古纳市</w:t>
            </w:r>
            <w:r>
              <w:rPr>
                <w:rFonts w:eastAsia="仿宋"/>
                <w:color w:val="auto"/>
                <w:sz w:val="24"/>
                <w:szCs w:val="24"/>
              </w:rPr>
              <w:t>突发环境事件应急办公室接报，经事故核实和级别确认后，对初步认定为重大或特别重大的事故，应当在2小时内向呼伦贝尔市突发环境事件应急指挥部办公室汇报；呼伦贝尔市突发环境事件应急指挥部办公室接报，核实信息后在1小时内报告生态环境部；</w:t>
            </w:r>
          </w:p>
          <w:p w14:paraId="3F51502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（6）应急救援人员到达现场后，对泄漏现场的污染程度进行监测分析，将监测情况报告应急指挥部；</w:t>
            </w:r>
          </w:p>
          <w:p w14:paraId="264D5F8A">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（7）事故得到控制后，由相应级别的应急指挥部办公室负责写事故分析报告并报应急指挥部；</w:t>
            </w:r>
          </w:p>
          <w:p w14:paraId="5312BABE">
            <w:pPr>
              <w:adjustRightInd w:val="0"/>
              <w:snapToGrid w:val="0"/>
              <w:spacing w:line="360" w:lineRule="auto"/>
              <w:ind w:left="600" w:hanging="600" w:hangingChars="250"/>
              <w:rPr>
                <w:rFonts w:eastAsia="仿宋"/>
                <w:color w:val="auto"/>
                <w:sz w:val="24"/>
                <w:szCs w:val="24"/>
              </w:rPr>
            </w:pPr>
            <w:r>
              <w:rPr>
                <w:rFonts w:eastAsia="仿宋"/>
                <w:color w:val="auto"/>
                <w:sz w:val="24"/>
                <w:szCs w:val="24"/>
              </w:rPr>
              <w:t>（8）突发环境事件处置过程中事件级别发生变化的，应当按照变化后的级别报告信息。</w:t>
            </w:r>
          </w:p>
          <w:p w14:paraId="210A6A15">
            <w:pPr>
              <w:adjustRightInd w:val="0"/>
              <w:snapToGrid w:val="0"/>
              <w:spacing w:line="360" w:lineRule="auto"/>
              <w:ind w:left="600" w:hanging="600" w:hangingChars="250"/>
              <w:rPr>
                <w:rFonts w:eastAsia="仿宋"/>
                <w:color w:val="auto"/>
                <w:sz w:val="24"/>
                <w:szCs w:val="24"/>
              </w:rPr>
            </w:pPr>
            <w:r>
              <w:rPr>
                <w:rFonts w:eastAsia="仿宋"/>
                <w:color w:val="auto"/>
                <w:sz w:val="24"/>
                <w:szCs w:val="24"/>
              </w:rPr>
              <w:t>（9）事故涉及居民聚居区、学校、医院等敏感区域和敏感人群、可能产生跨区域影响或因大气污染可能引发群体性事件或社会影响较大时，应当按照重大或特别重大的报告程序上报。</w:t>
            </w:r>
          </w:p>
        </w:tc>
        <w:tc>
          <w:tcPr>
            <w:tcW w:w="709" w:type="dxa"/>
            <w:vMerge w:val="restart"/>
            <w:noWrap w:val="0"/>
            <w:vAlign w:val="center"/>
          </w:tcPr>
          <w:p w14:paraId="30360E41">
            <w:pPr>
              <w:adjustRightInd w:val="0"/>
              <w:snapToGrid w:val="0"/>
              <w:jc w:val="center"/>
              <w:rPr>
                <w:rFonts w:eastAsia="仿宋"/>
                <w:color w:val="auto"/>
                <w:sz w:val="24"/>
                <w:szCs w:val="24"/>
              </w:rPr>
            </w:pPr>
            <w:r>
              <w:rPr>
                <w:rFonts w:eastAsia="仿宋"/>
                <w:color w:val="auto"/>
                <w:sz w:val="24"/>
                <w:szCs w:val="24"/>
              </w:rPr>
              <w:t>事故所在地行政区域人民政府或管理委员会负责人</w:t>
            </w:r>
          </w:p>
        </w:tc>
      </w:tr>
      <w:tr w14:paraId="6778B5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22E0264B">
            <w:pPr>
              <w:adjustRightInd w:val="0"/>
              <w:snapToGrid w:val="0"/>
              <w:jc w:val="center"/>
              <w:rPr>
                <w:rFonts w:eastAsia="仿宋"/>
                <w:color w:val="auto"/>
                <w:sz w:val="24"/>
                <w:szCs w:val="24"/>
              </w:rPr>
            </w:pPr>
            <w:r>
              <w:rPr>
                <w:rFonts w:eastAsia="仿宋"/>
                <w:color w:val="auto"/>
                <w:sz w:val="24"/>
                <w:szCs w:val="24"/>
              </w:rPr>
              <w:t>上报</w:t>
            </w:r>
          </w:p>
          <w:p w14:paraId="5B69D372">
            <w:pPr>
              <w:adjustRightInd w:val="0"/>
              <w:snapToGrid w:val="0"/>
              <w:jc w:val="center"/>
              <w:rPr>
                <w:rFonts w:eastAsia="仿宋"/>
                <w:color w:val="auto"/>
                <w:sz w:val="24"/>
                <w:szCs w:val="24"/>
              </w:rPr>
            </w:pPr>
            <w:r>
              <w:rPr>
                <w:rFonts w:eastAsia="仿宋"/>
                <w:color w:val="auto"/>
                <w:sz w:val="24"/>
                <w:szCs w:val="24"/>
              </w:rPr>
              <w:t>内容</w:t>
            </w:r>
          </w:p>
        </w:tc>
        <w:tc>
          <w:tcPr>
            <w:tcW w:w="6946" w:type="dxa"/>
            <w:noWrap w:val="0"/>
            <w:vAlign w:val="center"/>
          </w:tcPr>
          <w:p w14:paraId="5E5C6772">
            <w:pPr>
              <w:adjustRightInd w:val="0"/>
              <w:snapToGrid w:val="0"/>
              <w:spacing w:before="120" w:beforeLines="50" w:line="360" w:lineRule="auto"/>
              <w:rPr>
                <w:rFonts w:eastAsia="仿宋"/>
                <w:color w:val="auto"/>
                <w:sz w:val="24"/>
                <w:szCs w:val="24"/>
              </w:rPr>
            </w:pPr>
            <w:r>
              <w:rPr>
                <w:rFonts w:eastAsia="仿宋"/>
                <w:color w:val="auto"/>
                <w:sz w:val="24"/>
                <w:szCs w:val="24"/>
              </w:rPr>
              <w:t>事件发生时间、地点、事件类型、影响范围；人员遇险情况；事件原因的初步判断；已采取的应急抢救方案、措施和进展情况。</w:t>
            </w:r>
          </w:p>
        </w:tc>
        <w:tc>
          <w:tcPr>
            <w:tcW w:w="709" w:type="dxa"/>
            <w:vMerge w:val="continue"/>
            <w:noWrap w:val="0"/>
            <w:vAlign w:val="center"/>
          </w:tcPr>
          <w:p w14:paraId="0C516E67">
            <w:pPr>
              <w:adjustRightInd w:val="0"/>
              <w:snapToGrid w:val="0"/>
              <w:jc w:val="center"/>
              <w:rPr>
                <w:rFonts w:eastAsia="仿宋"/>
                <w:color w:val="auto"/>
                <w:sz w:val="24"/>
                <w:szCs w:val="24"/>
              </w:rPr>
            </w:pPr>
          </w:p>
        </w:tc>
      </w:tr>
      <w:tr w14:paraId="183B6D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48AE4443">
            <w:pPr>
              <w:adjustRightInd w:val="0"/>
              <w:snapToGrid w:val="0"/>
              <w:jc w:val="center"/>
              <w:rPr>
                <w:rFonts w:eastAsia="仿宋"/>
                <w:color w:val="auto"/>
                <w:sz w:val="24"/>
                <w:szCs w:val="24"/>
              </w:rPr>
            </w:pPr>
            <w:r>
              <w:rPr>
                <w:rFonts w:eastAsia="仿宋"/>
                <w:color w:val="auto"/>
                <w:sz w:val="24"/>
                <w:szCs w:val="24"/>
              </w:rPr>
              <w:t>预案</w:t>
            </w:r>
          </w:p>
          <w:p w14:paraId="0E2A1606">
            <w:pPr>
              <w:adjustRightInd w:val="0"/>
              <w:snapToGrid w:val="0"/>
              <w:jc w:val="center"/>
              <w:rPr>
                <w:rFonts w:eastAsia="仿宋"/>
                <w:color w:val="auto"/>
                <w:sz w:val="24"/>
                <w:szCs w:val="24"/>
              </w:rPr>
            </w:pPr>
            <w:r>
              <w:rPr>
                <w:rFonts w:eastAsia="仿宋"/>
                <w:color w:val="auto"/>
                <w:sz w:val="24"/>
                <w:szCs w:val="24"/>
              </w:rPr>
              <w:t>启动</w:t>
            </w:r>
          </w:p>
        </w:tc>
        <w:tc>
          <w:tcPr>
            <w:tcW w:w="6946" w:type="dxa"/>
            <w:noWrap w:val="0"/>
            <w:vAlign w:val="center"/>
          </w:tcPr>
          <w:p w14:paraId="41FC6C5E">
            <w:pPr>
              <w:adjustRightInd w:val="0"/>
              <w:snapToGrid w:val="0"/>
              <w:spacing w:before="120" w:beforeLines="50" w:line="360" w:lineRule="auto"/>
              <w:rPr>
                <w:rFonts w:eastAsia="仿宋"/>
                <w:color w:val="auto"/>
                <w:sz w:val="24"/>
                <w:szCs w:val="24"/>
              </w:rPr>
            </w:pPr>
            <w:r>
              <w:rPr>
                <w:rFonts w:eastAsia="仿宋"/>
                <w:color w:val="auto"/>
                <w:sz w:val="24"/>
                <w:szCs w:val="24"/>
              </w:rPr>
              <w:t>依据突发环境事故风险等级启动相应级别的应急预案，上级应急预案启动时，下级应急预案同时启动。</w:t>
            </w:r>
          </w:p>
        </w:tc>
        <w:tc>
          <w:tcPr>
            <w:tcW w:w="709" w:type="dxa"/>
            <w:vMerge w:val="continue"/>
            <w:noWrap w:val="0"/>
            <w:vAlign w:val="center"/>
          </w:tcPr>
          <w:p w14:paraId="185CB384">
            <w:pPr>
              <w:adjustRightInd w:val="0"/>
              <w:snapToGrid w:val="0"/>
              <w:jc w:val="center"/>
              <w:rPr>
                <w:rFonts w:eastAsia="仿宋"/>
                <w:color w:val="auto"/>
                <w:sz w:val="24"/>
                <w:szCs w:val="24"/>
              </w:rPr>
            </w:pPr>
          </w:p>
        </w:tc>
      </w:tr>
      <w:tr w14:paraId="6B0374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B831A5C">
            <w:pPr>
              <w:adjustRightInd w:val="0"/>
              <w:snapToGrid w:val="0"/>
              <w:jc w:val="center"/>
              <w:rPr>
                <w:rFonts w:eastAsia="仿宋"/>
                <w:color w:val="auto"/>
                <w:sz w:val="24"/>
                <w:szCs w:val="24"/>
              </w:rPr>
            </w:pPr>
            <w:r>
              <w:rPr>
                <w:rFonts w:eastAsia="仿宋"/>
                <w:color w:val="auto"/>
                <w:sz w:val="24"/>
                <w:szCs w:val="24"/>
              </w:rPr>
              <w:t>排查</w:t>
            </w:r>
          </w:p>
        </w:tc>
        <w:tc>
          <w:tcPr>
            <w:tcW w:w="6946" w:type="dxa"/>
            <w:noWrap w:val="0"/>
            <w:vAlign w:val="center"/>
          </w:tcPr>
          <w:p w14:paraId="4666F25B">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（1）对于已明确事故企业的事故情形，由企业及各相关部门负责人尽快确定</w:t>
            </w:r>
            <w:r>
              <w:rPr>
                <w:rFonts w:hint="eastAsia" w:eastAsia="仿宋"/>
                <w:color w:val="auto"/>
                <w:sz w:val="24"/>
                <w:szCs w:val="24"/>
              </w:rPr>
              <w:t>天然气</w:t>
            </w:r>
            <w:r>
              <w:rPr>
                <w:rFonts w:eastAsia="仿宋"/>
                <w:color w:val="auto"/>
                <w:sz w:val="24"/>
                <w:szCs w:val="24"/>
              </w:rPr>
              <w:t>泄漏</w:t>
            </w:r>
            <w:r>
              <w:rPr>
                <w:rFonts w:hint="eastAsia" w:eastAsia="仿宋"/>
                <w:color w:val="auto"/>
                <w:sz w:val="24"/>
                <w:szCs w:val="24"/>
              </w:rPr>
              <w:t>点</w:t>
            </w:r>
            <w:r>
              <w:rPr>
                <w:rFonts w:eastAsia="仿宋"/>
                <w:color w:val="auto"/>
                <w:sz w:val="24"/>
                <w:szCs w:val="24"/>
              </w:rPr>
              <w:t>、泄漏原因、泄漏量和发展趋势；</w:t>
            </w:r>
          </w:p>
          <w:p w14:paraId="7D3DA1A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（2）对于接到群众举报，</w:t>
            </w:r>
            <w:r>
              <w:rPr>
                <w:rFonts w:hint="eastAsia" w:eastAsia="仿宋"/>
                <w:color w:val="auto"/>
                <w:sz w:val="24"/>
                <w:szCs w:val="24"/>
              </w:rPr>
              <w:t>天然气</w:t>
            </w:r>
            <w:r>
              <w:rPr>
                <w:rFonts w:eastAsia="仿宋"/>
                <w:color w:val="auto"/>
                <w:sz w:val="24"/>
                <w:szCs w:val="24"/>
              </w:rPr>
              <w:t>泄漏企业未知事故情形，和属地乡镇/街道人民政府应迅速对所辖范围内可能涉及</w:t>
            </w:r>
            <w:r>
              <w:rPr>
                <w:rFonts w:hint="eastAsia" w:eastAsia="仿宋"/>
                <w:color w:val="auto"/>
                <w:sz w:val="24"/>
                <w:szCs w:val="24"/>
              </w:rPr>
              <w:t>天然气</w:t>
            </w:r>
            <w:r>
              <w:rPr>
                <w:rFonts w:eastAsia="仿宋"/>
                <w:color w:val="auto"/>
                <w:sz w:val="24"/>
                <w:szCs w:val="24"/>
              </w:rPr>
              <w:t>泄漏的企业逐一联系、调查，电话联系不上的要迅速派人前往；同时，根据风向迅速组织力量，搜寻污染源。</w:t>
            </w:r>
          </w:p>
        </w:tc>
        <w:tc>
          <w:tcPr>
            <w:tcW w:w="709" w:type="dxa"/>
            <w:vMerge w:val="continue"/>
            <w:noWrap w:val="0"/>
            <w:vAlign w:val="center"/>
          </w:tcPr>
          <w:p w14:paraId="10ACB68A">
            <w:pPr>
              <w:adjustRightInd w:val="0"/>
              <w:snapToGrid w:val="0"/>
              <w:jc w:val="center"/>
              <w:rPr>
                <w:rFonts w:eastAsia="仿宋"/>
                <w:color w:val="auto"/>
                <w:sz w:val="24"/>
                <w:szCs w:val="24"/>
              </w:rPr>
            </w:pPr>
          </w:p>
        </w:tc>
      </w:tr>
      <w:tr w14:paraId="0B32D3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4D789D6">
            <w:pPr>
              <w:adjustRightInd w:val="0"/>
              <w:snapToGrid w:val="0"/>
              <w:jc w:val="center"/>
              <w:rPr>
                <w:rFonts w:eastAsia="仿宋"/>
                <w:color w:val="auto"/>
                <w:sz w:val="24"/>
                <w:szCs w:val="24"/>
              </w:rPr>
            </w:pPr>
            <w:r>
              <w:rPr>
                <w:rFonts w:eastAsia="仿宋"/>
                <w:color w:val="auto"/>
                <w:sz w:val="24"/>
                <w:szCs w:val="24"/>
              </w:rPr>
              <w:t>控源截污</w:t>
            </w:r>
          </w:p>
        </w:tc>
        <w:tc>
          <w:tcPr>
            <w:tcW w:w="6946" w:type="dxa"/>
            <w:noWrap w:val="0"/>
            <w:vAlign w:val="center"/>
          </w:tcPr>
          <w:p w14:paraId="723E2E67">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（1）由于误操作失误、设备、管线腐蚀穿孔、损坏、密封老化引起密封失效、压力表损坏和管道破裂引起的天然气大量泄漏的处置措施：</w:t>
            </w:r>
            <w:r>
              <w:rPr>
                <w:rFonts w:hint="eastAsia" w:ascii="宋体" w:hAnsi="宋体" w:cs="宋体"/>
                <w:color w:val="auto"/>
                <w:sz w:val="24"/>
                <w:szCs w:val="24"/>
              </w:rPr>
              <w:t>①</w:t>
            </w:r>
            <w:r>
              <w:rPr>
                <w:rFonts w:eastAsia="仿宋"/>
                <w:color w:val="auto"/>
                <w:sz w:val="24"/>
                <w:szCs w:val="24"/>
              </w:rPr>
              <w:t>如果只是天然气泄漏，没有火灾则用便携式可燃气体报警仪检测站场天然气浓度，确定泄漏点，并做标记，设置警戒区。自动或人工手动切换，放空站内管线气体，根据现场情况，现场拉响警铃，人工手动关闭进站阀和出站阀、打开站内所有手动放空阀、开始对站内进行事故初步控制；</w:t>
            </w:r>
            <w:r>
              <w:rPr>
                <w:rFonts w:hint="eastAsia" w:ascii="宋体" w:hAnsi="宋体" w:cs="宋体"/>
                <w:color w:val="auto"/>
                <w:sz w:val="24"/>
                <w:szCs w:val="24"/>
              </w:rPr>
              <w:t>②</w:t>
            </w:r>
            <w:r>
              <w:rPr>
                <w:rFonts w:eastAsia="仿宋"/>
                <w:color w:val="auto"/>
                <w:sz w:val="24"/>
                <w:szCs w:val="24"/>
              </w:rPr>
              <w:t>如果是天然气泄漏着火，应首先找到泄漏源，关断上游阀门，使燃烧终止。</w:t>
            </w:r>
          </w:p>
          <w:p w14:paraId="39427C85">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w:t>
            </w:r>
            <w:r>
              <w:rPr>
                <w:rFonts w:eastAsia="仿宋"/>
                <w:color w:val="auto"/>
                <w:sz w:val="24"/>
                <w:szCs w:val="24"/>
              </w:rPr>
              <w:t>2）减压站法或螺栓处轻微泄漏的处置措施：</w:t>
            </w:r>
            <w:r>
              <w:rPr>
                <w:rFonts w:hint="eastAsia" w:ascii="宋体" w:hAnsi="宋体" w:cs="宋体"/>
                <w:color w:val="auto"/>
                <w:sz w:val="24"/>
                <w:szCs w:val="24"/>
              </w:rPr>
              <w:t>①</w:t>
            </w:r>
            <w:r>
              <w:rPr>
                <w:rFonts w:eastAsia="仿宋"/>
                <w:color w:val="auto"/>
                <w:sz w:val="24"/>
                <w:szCs w:val="24"/>
              </w:rPr>
              <w:t>在工艺允许的情况下，切换至用管路。隔离漏气的设施或管线；</w:t>
            </w:r>
            <w:r>
              <w:rPr>
                <w:rFonts w:hint="eastAsia" w:ascii="宋体" w:hAnsi="宋体" w:cs="宋体"/>
                <w:color w:val="auto"/>
                <w:sz w:val="24"/>
                <w:szCs w:val="24"/>
              </w:rPr>
              <w:t>②</w:t>
            </w:r>
            <w:r>
              <w:rPr>
                <w:rFonts w:eastAsia="仿宋"/>
                <w:color w:val="auto"/>
                <w:sz w:val="24"/>
                <w:szCs w:val="24"/>
              </w:rPr>
              <w:t>对于有把握处理的轻微泄漏，利用防爆工具对螺栓进行紧固处理；</w:t>
            </w:r>
            <w:r>
              <w:rPr>
                <w:rFonts w:hint="eastAsia" w:ascii="宋体" w:hAnsi="宋体" w:cs="宋体"/>
                <w:color w:val="auto"/>
                <w:sz w:val="24"/>
                <w:szCs w:val="24"/>
              </w:rPr>
              <w:t>③</w:t>
            </w:r>
            <w:r>
              <w:rPr>
                <w:rFonts w:eastAsia="仿宋"/>
                <w:color w:val="auto"/>
                <w:sz w:val="24"/>
                <w:szCs w:val="24"/>
              </w:rPr>
              <w:t>紧急情况下对站场泄漏阀门，管段、泄漏的设备连接部位可采用高压堵漏器进行紧急堵漏。</w:t>
            </w:r>
          </w:p>
          <w:p w14:paraId="2F2246FF">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w:t>
            </w:r>
            <w:r>
              <w:rPr>
                <w:rFonts w:eastAsia="仿宋"/>
                <w:color w:val="auto"/>
                <w:sz w:val="24"/>
                <w:szCs w:val="24"/>
              </w:rPr>
              <w:t>3）输气管道天然气泄漏处置措施：</w:t>
            </w:r>
            <w:r>
              <w:rPr>
                <w:rFonts w:hint="eastAsia" w:ascii="宋体" w:hAnsi="宋体" w:cs="宋体"/>
                <w:color w:val="auto"/>
                <w:sz w:val="24"/>
                <w:szCs w:val="24"/>
              </w:rPr>
              <w:t>①</w:t>
            </w:r>
            <w:r>
              <w:rPr>
                <w:rFonts w:eastAsia="仿宋"/>
                <w:color w:val="auto"/>
                <w:sz w:val="24"/>
                <w:szCs w:val="24"/>
              </w:rPr>
              <w:t>立即通知当地政府、公安、消防、燃管、安监等部门，迅速组织疏散事故发生地周围居民群众，确保人民群众的生命安全，并告附近居民熄灭一切火种，严禁烧火做饭、并开电源；</w:t>
            </w:r>
            <w:r>
              <w:rPr>
                <w:rFonts w:hint="eastAsia" w:ascii="宋体" w:hAnsi="宋体" w:cs="宋体"/>
                <w:color w:val="auto"/>
                <w:sz w:val="24"/>
                <w:szCs w:val="24"/>
              </w:rPr>
              <w:t>②</w:t>
            </w:r>
            <w:r>
              <w:rPr>
                <w:rFonts w:eastAsia="仿宋"/>
                <w:color w:val="auto"/>
                <w:sz w:val="24"/>
                <w:szCs w:val="24"/>
              </w:rPr>
              <w:t>现场指挥人员迅速赶到出事地点，协助当地相关部门，围控事故区域，在事故区域设置警戒线、警示标志，确保武官、人员、居民群众远离危险区；</w:t>
            </w:r>
            <w:r>
              <w:rPr>
                <w:rFonts w:hint="eastAsia" w:ascii="宋体" w:hAnsi="宋体" w:cs="宋体"/>
                <w:color w:val="auto"/>
                <w:sz w:val="24"/>
                <w:szCs w:val="24"/>
              </w:rPr>
              <w:t>③</w:t>
            </w:r>
            <w:r>
              <w:rPr>
                <w:rFonts w:eastAsia="仿宋"/>
                <w:color w:val="auto"/>
                <w:sz w:val="24"/>
                <w:szCs w:val="24"/>
              </w:rPr>
              <w:t>当泄漏天然气威胁到运输干线时，应协助当地政府立即停止公路、铁路、河流的交通运输；</w:t>
            </w:r>
            <w:r>
              <w:rPr>
                <w:rFonts w:hint="eastAsia" w:ascii="宋体" w:hAnsi="宋体" w:cs="宋体"/>
                <w:color w:val="auto"/>
                <w:sz w:val="24"/>
                <w:szCs w:val="24"/>
              </w:rPr>
              <w:t>④</w:t>
            </w:r>
            <w:r>
              <w:rPr>
                <w:rFonts w:eastAsia="仿宋"/>
                <w:color w:val="auto"/>
                <w:sz w:val="24"/>
                <w:szCs w:val="24"/>
              </w:rPr>
              <w:t>现场指挥人员进一步摸清事故现场泄漏情况，评估事故发展状况、影响范围，将情况立即汇报领导小组；</w:t>
            </w:r>
            <w:r>
              <w:rPr>
                <w:rFonts w:hint="eastAsia" w:ascii="宋体" w:hAnsi="宋体" w:cs="宋体"/>
                <w:color w:val="auto"/>
                <w:sz w:val="24"/>
                <w:szCs w:val="24"/>
              </w:rPr>
              <w:t>⑤</w:t>
            </w:r>
            <w:r>
              <w:rPr>
                <w:rFonts w:eastAsia="仿宋"/>
                <w:color w:val="auto"/>
                <w:sz w:val="24"/>
                <w:szCs w:val="24"/>
              </w:rPr>
              <w:t>采取一切</w:t>
            </w:r>
            <w:r>
              <w:rPr>
                <w:rFonts w:hint="eastAsia" w:eastAsia="仿宋"/>
                <w:color w:val="auto"/>
                <w:sz w:val="24"/>
                <w:szCs w:val="24"/>
              </w:rPr>
              <w:t>必要措施封堵泄漏部位；⑥发生事故后，专业抢修人员以最快的速度到达事故现场，及时挖出泄漏处管沟土房，在抢修焊接过程中，要用轴流风机强制派出沟管的天然气，并进行不间断的可燃气体监测和安全监护。</w:t>
            </w:r>
          </w:p>
        </w:tc>
        <w:tc>
          <w:tcPr>
            <w:tcW w:w="709" w:type="dxa"/>
            <w:vMerge w:val="continue"/>
            <w:noWrap w:val="0"/>
            <w:vAlign w:val="center"/>
          </w:tcPr>
          <w:p w14:paraId="2B48BF8F">
            <w:pPr>
              <w:adjustRightInd w:val="0"/>
              <w:snapToGrid w:val="0"/>
              <w:jc w:val="center"/>
              <w:rPr>
                <w:rFonts w:eastAsia="仿宋"/>
                <w:color w:val="auto"/>
                <w:sz w:val="24"/>
                <w:szCs w:val="24"/>
              </w:rPr>
            </w:pPr>
          </w:p>
        </w:tc>
      </w:tr>
      <w:tr w14:paraId="11EDAC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69A23E96">
            <w:pPr>
              <w:adjustRightInd w:val="0"/>
              <w:snapToGrid w:val="0"/>
              <w:jc w:val="center"/>
              <w:rPr>
                <w:rFonts w:eastAsia="仿宋"/>
                <w:color w:val="auto"/>
                <w:sz w:val="24"/>
                <w:szCs w:val="24"/>
              </w:rPr>
            </w:pPr>
            <w:r>
              <w:rPr>
                <w:rFonts w:eastAsia="仿宋"/>
                <w:color w:val="auto"/>
                <w:sz w:val="24"/>
                <w:szCs w:val="24"/>
              </w:rPr>
              <w:t>检测</w:t>
            </w:r>
          </w:p>
        </w:tc>
        <w:tc>
          <w:tcPr>
            <w:tcW w:w="6946" w:type="dxa"/>
            <w:noWrap w:val="0"/>
            <w:vAlign w:val="center"/>
          </w:tcPr>
          <w:p w14:paraId="3583BA84">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（1）由专业技术人员进行</w:t>
            </w:r>
            <w:r>
              <w:rPr>
                <w:rFonts w:hint="eastAsia" w:eastAsia="仿宋"/>
                <w:color w:val="auto"/>
                <w:sz w:val="24"/>
                <w:szCs w:val="24"/>
              </w:rPr>
              <w:t>天然气</w:t>
            </w:r>
            <w:r>
              <w:rPr>
                <w:rFonts w:eastAsia="仿宋"/>
                <w:color w:val="auto"/>
                <w:sz w:val="24"/>
                <w:szCs w:val="24"/>
              </w:rPr>
              <w:t>浓度现场检测；</w:t>
            </w:r>
          </w:p>
          <w:p w14:paraId="6D1AF5B3">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以泄漏点为中心，在下风向按一定间隔的扇形或圆形布点，并根据污染物的特性在不同高度采样，同时在事故点的上风向适当位置布设对照点；在可能受污染影响的居民住宅区或人群活动区等敏感点必须设置采样点，采样过程中应注意风向变化，及时调整采样点位置。</w:t>
            </w:r>
          </w:p>
          <w:p w14:paraId="79F97908">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在事故发生地，初始加密（6次/天）监测，随着污染物浓度的下降逐渐降低频次；在事故发生地周围居民区等敏感区域，初始加密（6次/天）监测，随着污染物浓度的下降逐渐降低频次；在事故发生地下风向，4次/天或与事故发生地同频次（应急期间）；在事故发生地上风向对照点，4次/天（应急期间）。根据应急需要，可适当增加或降低监测频次。</w:t>
            </w:r>
          </w:p>
        </w:tc>
        <w:tc>
          <w:tcPr>
            <w:tcW w:w="709" w:type="dxa"/>
            <w:vMerge w:val="continue"/>
            <w:noWrap w:val="0"/>
            <w:vAlign w:val="center"/>
          </w:tcPr>
          <w:p w14:paraId="597A9AF8">
            <w:pPr>
              <w:adjustRightInd w:val="0"/>
              <w:snapToGrid w:val="0"/>
              <w:jc w:val="center"/>
              <w:rPr>
                <w:rFonts w:eastAsia="仿宋"/>
                <w:color w:val="auto"/>
                <w:sz w:val="24"/>
                <w:szCs w:val="24"/>
              </w:rPr>
            </w:pPr>
          </w:p>
        </w:tc>
      </w:tr>
      <w:tr w14:paraId="192A09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211D2F23">
            <w:pPr>
              <w:adjustRightInd w:val="0"/>
              <w:snapToGrid w:val="0"/>
              <w:jc w:val="center"/>
              <w:rPr>
                <w:rFonts w:eastAsia="仿宋"/>
                <w:color w:val="auto"/>
                <w:sz w:val="24"/>
                <w:szCs w:val="24"/>
              </w:rPr>
            </w:pPr>
            <w:r>
              <w:rPr>
                <w:rFonts w:eastAsia="仿宋"/>
                <w:color w:val="auto"/>
                <w:sz w:val="24"/>
                <w:szCs w:val="24"/>
              </w:rPr>
              <w:t>后勤保障</w:t>
            </w:r>
          </w:p>
        </w:tc>
        <w:tc>
          <w:tcPr>
            <w:tcW w:w="6946" w:type="dxa"/>
            <w:noWrap w:val="0"/>
            <w:vAlign w:val="center"/>
          </w:tcPr>
          <w:p w14:paraId="627730B6">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（1）应急车辆的安排和调配；</w:t>
            </w:r>
          </w:p>
          <w:p w14:paraId="52C0C90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（2）应急救援物资及临时人员安置物资调拨和紧急配送；</w:t>
            </w:r>
          </w:p>
          <w:p w14:paraId="42C7287D">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（3）交通调度；</w:t>
            </w:r>
          </w:p>
          <w:p w14:paraId="133421EC">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（4）电力、通讯、燃气和饮水保障；</w:t>
            </w:r>
          </w:p>
          <w:p w14:paraId="16D4D9D1">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（5）提供应急救援资金。</w:t>
            </w:r>
          </w:p>
        </w:tc>
        <w:tc>
          <w:tcPr>
            <w:tcW w:w="709" w:type="dxa"/>
            <w:vMerge w:val="continue"/>
            <w:noWrap w:val="0"/>
            <w:vAlign w:val="center"/>
          </w:tcPr>
          <w:p w14:paraId="04544CCC">
            <w:pPr>
              <w:adjustRightInd w:val="0"/>
              <w:snapToGrid w:val="0"/>
              <w:jc w:val="center"/>
              <w:rPr>
                <w:rFonts w:eastAsia="仿宋"/>
                <w:color w:val="auto"/>
                <w:sz w:val="24"/>
                <w:szCs w:val="24"/>
              </w:rPr>
            </w:pPr>
          </w:p>
        </w:tc>
      </w:tr>
      <w:tr w14:paraId="6FB266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237C8965">
            <w:pPr>
              <w:adjustRightInd w:val="0"/>
              <w:snapToGrid w:val="0"/>
              <w:jc w:val="center"/>
              <w:rPr>
                <w:rFonts w:eastAsia="仿宋"/>
                <w:color w:val="auto"/>
                <w:sz w:val="24"/>
                <w:szCs w:val="24"/>
              </w:rPr>
            </w:pPr>
            <w:r>
              <w:rPr>
                <w:rFonts w:eastAsia="仿宋"/>
                <w:color w:val="auto"/>
                <w:sz w:val="24"/>
                <w:szCs w:val="24"/>
              </w:rPr>
              <w:t>恢复处置</w:t>
            </w:r>
          </w:p>
        </w:tc>
        <w:tc>
          <w:tcPr>
            <w:tcW w:w="6946" w:type="dxa"/>
            <w:noWrap w:val="0"/>
            <w:vAlign w:val="center"/>
          </w:tcPr>
          <w:p w14:paraId="7F126B0F">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（1）群众回迁；</w:t>
            </w:r>
          </w:p>
          <w:p w14:paraId="61D1B91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（2）工艺设施维修、鉴定和恢复生产；</w:t>
            </w:r>
          </w:p>
          <w:p w14:paraId="48D930A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（3）责任赔偿。</w:t>
            </w:r>
          </w:p>
        </w:tc>
        <w:tc>
          <w:tcPr>
            <w:tcW w:w="709" w:type="dxa"/>
            <w:vMerge w:val="continue"/>
            <w:noWrap w:val="0"/>
            <w:vAlign w:val="center"/>
          </w:tcPr>
          <w:p w14:paraId="59EDA969">
            <w:pPr>
              <w:adjustRightInd w:val="0"/>
              <w:snapToGrid w:val="0"/>
              <w:jc w:val="center"/>
              <w:rPr>
                <w:rFonts w:eastAsia="仿宋"/>
                <w:color w:val="auto"/>
                <w:sz w:val="24"/>
                <w:szCs w:val="24"/>
              </w:rPr>
            </w:pPr>
          </w:p>
        </w:tc>
      </w:tr>
      <w:tr w14:paraId="15503A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0A46F60">
            <w:pPr>
              <w:adjustRightInd w:val="0"/>
              <w:snapToGrid w:val="0"/>
              <w:jc w:val="center"/>
              <w:rPr>
                <w:rFonts w:eastAsia="仿宋"/>
                <w:color w:val="auto"/>
                <w:sz w:val="24"/>
                <w:szCs w:val="24"/>
              </w:rPr>
            </w:pPr>
            <w:r>
              <w:rPr>
                <w:rFonts w:eastAsia="仿宋"/>
                <w:color w:val="auto"/>
                <w:sz w:val="24"/>
                <w:szCs w:val="24"/>
              </w:rPr>
              <w:t>注意事项</w:t>
            </w:r>
          </w:p>
        </w:tc>
        <w:tc>
          <w:tcPr>
            <w:tcW w:w="6946" w:type="dxa"/>
            <w:noWrap w:val="0"/>
            <w:vAlign w:val="center"/>
          </w:tcPr>
          <w:p w14:paraId="4B4CB39E">
            <w:pPr>
              <w:adjustRightInd w:val="0"/>
              <w:snapToGrid w:val="0"/>
              <w:spacing w:before="120" w:beforeLines="50" w:line="360" w:lineRule="auto"/>
              <w:rPr>
                <w:rFonts w:eastAsia="仿宋"/>
                <w:color w:val="auto"/>
                <w:sz w:val="24"/>
                <w:szCs w:val="24"/>
              </w:rPr>
            </w:pPr>
            <w:r>
              <w:rPr>
                <w:rFonts w:hint="eastAsia" w:eastAsia="仿宋"/>
                <w:color w:val="auto"/>
                <w:sz w:val="24"/>
                <w:szCs w:val="24"/>
              </w:rPr>
              <w:t>使用防爆型防具，戴化学安全防护眼镜、佩戴过滤式防毒面具（半面罩）或正压式空气呼吸器，严禁携带、使用非防爆工具和非防爆通讯、照明器具。</w:t>
            </w:r>
          </w:p>
        </w:tc>
        <w:tc>
          <w:tcPr>
            <w:tcW w:w="709" w:type="dxa"/>
            <w:noWrap w:val="0"/>
            <w:vAlign w:val="center"/>
          </w:tcPr>
          <w:p w14:paraId="30FB8B00">
            <w:pPr>
              <w:adjustRightInd w:val="0"/>
              <w:snapToGrid w:val="0"/>
              <w:jc w:val="center"/>
              <w:rPr>
                <w:rFonts w:eastAsia="仿宋"/>
                <w:color w:val="auto"/>
                <w:sz w:val="24"/>
                <w:szCs w:val="24"/>
              </w:rPr>
            </w:pPr>
          </w:p>
        </w:tc>
      </w:tr>
    </w:tbl>
    <w:p w14:paraId="1C332873">
      <w:pPr>
        <w:adjustRightInd w:val="0"/>
        <w:snapToGrid w:val="0"/>
        <w:spacing w:before="120" w:after="120" w:line="360" w:lineRule="auto"/>
        <w:jc w:val="center"/>
        <w:rPr>
          <w:rFonts w:ascii="仿宋" w:hAnsi="仿宋" w:eastAsia="仿宋"/>
          <w:color w:val="auto"/>
          <w:sz w:val="24"/>
          <w:szCs w:val="24"/>
        </w:rPr>
      </w:pPr>
      <w:r>
        <w:rPr>
          <w:rFonts w:eastAsia="仿宋"/>
          <w:color w:val="auto"/>
          <w:sz w:val="24"/>
          <w:szCs w:val="24"/>
        </w:rPr>
        <w:br w:type="page"/>
      </w:r>
      <w:r>
        <w:rPr>
          <w:rFonts w:hint="eastAsia" w:ascii="仿宋" w:hAnsi="仿宋" w:eastAsia="仿宋"/>
          <w:color w:val="auto"/>
          <w:sz w:val="24"/>
          <w:szCs w:val="24"/>
        </w:rPr>
        <w:t>加油站火灾事故现场应急处置卡</w:t>
      </w:r>
    </w:p>
    <w:tbl>
      <w:tblPr>
        <w:tblStyle w:val="21"/>
        <w:tblW w:w="8359"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6946"/>
        <w:gridCol w:w="709"/>
      </w:tblGrid>
      <w:tr w14:paraId="7CCB64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4" w:type="dxa"/>
            <w:noWrap w:val="0"/>
            <w:vAlign w:val="center"/>
          </w:tcPr>
          <w:p w14:paraId="663F38B4">
            <w:pPr>
              <w:adjustRightInd w:val="0"/>
              <w:snapToGrid w:val="0"/>
              <w:jc w:val="center"/>
              <w:rPr>
                <w:rFonts w:eastAsia="仿宋"/>
                <w:color w:val="auto"/>
                <w:sz w:val="24"/>
                <w:szCs w:val="24"/>
              </w:rPr>
            </w:pPr>
            <w:r>
              <w:rPr>
                <w:rFonts w:eastAsia="仿宋"/>
                <w:color w:val="auto"/>
                <w:sz w:val="24"/>
                <w:szCs w:val="24"/>
              </w:rPr>
              <w:t>类别</w:t>
            </w:r>
          </w:p>
        </w:tc>
        <w:tc>
          <w:tcPr>
            <w:tcW w:w="7655" w:type="dxa"/>
            <w:gridSpan w:val="2"/>
            <w:noWrap w:val="0"/>
            <w:vAlign w:val="center"/>
          </w:tcPr>
          <w:p w14:paraId="256DF6FF">
            <w:pPr>
              <w:adjustRightInd w:val="0"/>
              <w:snapToGrid w:val="0"/>
              <w:jc w:val="center"/>
              <w:rPr>
                <w:rFonts w:eastAsia="仿宋"/>
                <w:color w:val="auto"/>
                <w:sz w:val="24"/>
                <w:szCs w:val="24"/>
              </w:rPr>
            </w:pPr>
            <w:r>
              <w:rPr>
                <w:rFonts w:eastAsia="仿宋"/>
                <w:color w:val="auto"/>
                <w:sz w:val="24"/>
                <w:szCs w:val="24"/>
              </w:rPr>
              <w:t>内容</w:t>
            </w:r>
          </w:p>
        </w:tc>
      </w:tr>
      <w:tr w14:paraId="0C2EEB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359" w:type="dxa"/>
            <w:gridSpan w:val="3"/>
            <w:noWrap w:val="0"/>
            <w:vAlign w:val="center"/>
          </w:tcPr>
          <w:p w14:paraId="07D7A6F0">
            <w:pPr>
              <w:adjustRightInd w:val="0"/>
              <w:snapToGrid w:val="0"/>
              <w:spacing w:before="120" w:beforeLines="50" w:line="360" w:lineRule="auto"/>
              <w:rPr>
                <w:rFonts w:eastAsia="仿宋"/>
                <w:color w:val="auto"/>
                <w:sz w:val="24"/>
                <w:szCs w:val="24"/>
              </w:rPr>
            </w:pPr>
            <w:r>
              <w:rPr>
                <w:rFonts w:eastAsia="仿宋"/>
                <w:color w:val="auto"/>
                <w:sz w:val="24"/>
                <w:szCs w:val="24"/>
              </w:rPr>
              <w:t>风险描述：</w:t>
            </w:r>
            <w:r>
              <w:rPr>
                <w:rFonts w:hint="eastAsia" w:eastAsia="仿宋"/>
                <w:color w:val="auto"/>
                <w:sz w:val="24"/>
                <w:szCs w:val="24"/>
              </w:rPr>
              <w:t>加油站现场加油机、油料外溢、加油车辆等发生火灾，未完全燃烧烃类、氮氧化物和烟尘污染周边大气环境，灭火含油废水进入附近水体，影响水环境质量和生态功能</w:t>
            </w:r>
            <w:r>
              <w:rPr>
                <w:rFonts w:eastAsia="仿宋"/>
                <w:color w:val="auto"/>
                <w:sz w:val="24"/>
                <w:szCs w:val="24"/>
              </w:rPr>
              <w:t>。</w:t>
            </w:r>
          </w:p>
        </w:tc>
      </w:tr>
      <w:tr w14:paraId="78DC82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42EA7831">
            <w:pPr>
              <w:adjustRightInd w:val="0"/>
              <w:snapToGrid w:val="0"/>
              <w:jc w:val="center"/>
              <w:rPr>
                <w:rFonts w:eastAsia="仿宋"/>
                <w:color w:val="auto"/>
                <w:sz w:val="24"/>
                <w:szCs w:val="24"/>
              </w:rPr>
            </w:pPr>
            <w:r>
              <w:rPr>
                <w:rFonts w:eastAsia="仿宋"/>
                <w:color w:val="auto"/>
                <w:sz w:val="24"/>
                <w:szCs w:val="24"/>
              </w:rPr>
              <w:t>应急</w:t>
            </w:r>
          </w:p>
          <w:p w14:paraId="4A508235">
            <w:pPr>
              <w:adjustRightInd w:val="0"/>
              <w:snapToGrid w:val="0"/>
              <w:jc w:val="center"/>
              <w:rPr>
                <w:rFonts w:eastAsia="仿宋"/>
                <w:color w:val="auto"/>
                <w:sz w:val="24"/>
                <w:szCs w:val="24"/>
              </w:rPr>
            </w:pPr>
            <w:r>
              <w:rPr>
                <w:rFonts w:eastAsia="仿宋"/>
                <w:color w:val="auto"/>
                <w:sz w:val="24"/>
                <w:szCs w:val="24"/>
              </w:rPr>
              <w:t>程序</w:t>
            </w:r>
          </w:p>
        </w:tc>
        <w:tc>
          <w:tcPr>
            <w:tcW w:w="6946" w:type="dxa"/>
            <w:noWrap w:val="0"/>
            <w:vAlign w:val="center"/>
          </w:tcPr>
          <w:p w14:paraId="17676B1B">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（1）接警、确定事件级别，并上报上级部门；</w:t>
            </w:r>
          </w:p>
          <w:p w14:paraId="56EC69E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（2）由相应级别的突发环境事件应急指挥部启动应急预案，并赴现场指挥应急救援工作；</w:t>
            </w:r>
          </w:p>
          <w:p w14:paraId="5BF5EDB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（3）若事件的影响超出企业范围或可能超出企业范围，由乡镇、街道/责任人负责组织专业人员进行先期处置，控制事态发展；在上级指挥人员到场后，乡镇、街道/责任人负责各项应急处置措施、方案的落实；</w:t>
            </w:r>
          </w:p>
          <w:p w14:paraId="0A7878E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（4）确定</w:t>
            </w:r>
            <w:r>
              <w:rPr>
                <w:rFonts w:hint="eastAsia" w:eastAsia="仿宋"/>
                <w:color w:val="auto"/>
                <w:sz w:val="24"/>
                <w:szCs w:val="24"/>
              </w:rPr>
              <w:t>火灾及油品</w:t>
            </w:r>
            <w:r>
              <w:rPr>
                <w:rFonts w:eastAsia="仿宋"/>
                <w:color w:val="auto"/>
                <w:sz w:val="24"/>
                <w:szCs w:val="24"/>
              </w:rPr>
              <w:t>泄漏时间或预计持续时间，估算泄漏量，对污染物扩散趋势进行预测。同时，制订监测方案，开展应急监测，尽快确定污染范围和程度；</w:t>
            </w:r>
          </w:p>
          <w:p w14:paraId="139254E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（5）确定事发地周边环境风险受体的分布，及时对可能受到影响的群众进行疏散；</w:t>
            </w:r>
          </w:p>
          <w:p w14:paraId="556DCEA3">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（6）应急保障组负责应急救援物资的协调、补充和供应，应急疏散群众的基本生活保障；</w:t>
            </w:r>
          </w:p>
          <w:p w14:paraId="17EE1C0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（7）制定工艺、设备和事故现场的恢复措施。</w:t>
            </w:r>
          </w:p>
        </w:tc>
        <w:tc>
          <w:tcPr>
            <w:tcW w:w="709" w:type="dxa"/>
            <w:noWrap w:val="0"/>
            <w:vAlign w:val="center"/>
          </w:tcPr>
          <w:p w14:paraId="00974BF1">
            <w:pPr>
              <w:adjustRightInd w:val="0"/>
              <w:snapToGrid w:val="0"/>
              <w:jc w:val="center"/>
              <w:rPr>
                <w:rFonts w:eastAsia="仿宋"/>
                <w:color w:val="auto"/>
                <w:sz w:val="24"/>
                <w:szCs w:val="24"/>
              </w:rPr>
            </w:pPr>
            <w:r>
              <w:rPr>
                <w:rFonts w:eastAsia="仿宋"/>
                <w:color w:val="auto"/>
                <w:sz w:val="24"/>
                <w:szCs w:val="24"/>
              </w:rPr>
              <w:t>责任</w:t>
            </w:r>
          </w:p>
          <w:p w14:paraId="3DD81EAD">
            <w:pPr>
              <w:adjustRightInd w:val="0"/>
              <w:snapToGrid w:val="0"/>
              <w:jc w:val="center"/>
              <w:rPr>
                <w:rFonts w:eastAsia="仿宋"/>
                <w:color w:val="auto"/>
                <w:sz w:val="24"/>
                <w:szCs w:val="24"/>
              </w:rPr>
            </w:pPr>
            <w:r>
              <w:rPr>
                <w:rFonts w:eastAsia="仿宋"/>
                <w:color w:val="auto"/>
                <w:sz w:val="24"/>
                <w:szCs w:val="24"/>
              </w:rPr>
              <w:t>岗位</w:t>
            </w:r>
          </w:p>
        </w:tc>
      </w:tr>
      <w:tr w14:paraId="1C97C7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1342EBB6">
            <w:pPr>
              <w:adjustRightInd w:val="0"/>
              <w:snapToGrid w:val="0"/>
              <w:jc w:val="center"/>
              <w:rPr>
                <w:rFonts w:eastAsia="仿宋"/>
                <w:color w:val="auto"/>
                <w:sz w:val="24"/>
                <w:szCs w:val="24"/>
              </w:rPr>
            </w:pPr>
            <w:r>
              <w:rPr>
                <w:rFonts w:eastAsia="仿宋"/>
                <w:color w:val="auto"/>
                <w:sz w:val="24"/>
                <w:szCs w:val="24"/>
              </w:rPr>
              <w:t>报告</w:t>
            </w:r>
          </w:p>
          <w:p w14:paraId="24AADA38">
            <w:pPr>
              <w:adjustRightInd w:val="0"/>
              <w:snapToGrid w:val="0"/>
              <w:jc w:val="center"/>
              <w:rPr>
                <w:rFonts w:eastAsia="仿宋"/>
                <w:color w:val="auto"/>
                <w:sz w:val="24"/>
                <w:szCs w:val="24"/>
              </w:rPr>
            </w:pPr>
            <w:r>
              <w:rPr>
                <w:rFonts w:eastAsia="仿宋"/>
                <w:color w:val="auto"/>
                <w:sz w:val="24"/>
                <w:szCs w:val="24"/>
              </w:rPr>
              <w:t>程序</w:t>
            </w:r>
          </w:p>
        </w:tc>
        <w:tc>
          <w:tcPr>
            <w:tcW w:w="6946" w:type="dxa"/>
            <w:noWrap w:val="0"/>
            <w:vAlign w:val="center"/>
          </w:tcPr>
          <w:p w14:paraId="265878E5">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w:t>
            </w:r>
            <w:r>
              <w:rPr>
                <w:rFonts w:hint="eastAsia" w:eastAsia="仿宋"/>
                <w:color w:val="auto"/>
                <w:sz w:val="24"/>
                <w:szCs w:val="24"/>
              </w:rPr>
              <w:t>火灾</w:t>
            </w:r>
            <w:r>
              <w:rPr>
                <w:rFonts w:eastAsia="仿宋"/>
                <w:color w:val="auto"/>
                <w:sz w:val="24"/>
                <w:szCs w:val="24"/>
              </w:rPr>
              <w:t>事故发生后，最早发现者和事故部门应立即报告部门负责人和企业应急救援办公室；</w:t>
            </w:r>
          </w:p>
          <w:p w14:paraId="0DEC76F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（2）企业应急救援办公室接到报告并核实后，报告企业应急救援指挥部、应急救援指挥部、乡镇/街道人民政府或乡镇/街道应急指挥部；</w:t>
            </w:r>
          </w:p>
          <w:p w14:paraId="2E5D427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（3）企业、、乡镇/街道应急指挥部办公室对事件的性质和级别做出初步认定，总指挥根据事件的级别确定是否上报；</w:t>
            </w:r>
          </w:p>
          <w:p w14:paraId="451DC8A9">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（4）对初步认定为一般或较大的突发环境事件，应在接报4后小时内上报</w:t>
            </w:r>
            <w:r>
              <w:rPr>
                <w:rFonts w:hint="eastAsia" w:eastAsia="仿宋"/>
                <w:color w:val="auto"/>
                <w:sz w:val="24"/>
                <w:szCs w:val="24"/>
              </w:rPr>
              <w:t>额尔古纳市</w:t>
            </w:r>
            <w:r>
              <w:rPr>
                <w:rFonts w:eastAsia="仿宋"/>
                <w:color w:val="auto"/>
                <w:sz w:val="24"/>
                <w:szCs w:val="24"/>
              </w:rPr>
              <w:t>突发环境事件应急办公室；</w:t>
            </w:r>
            <w:r>
              <w:rPr>
                <w:rFonts w:hint="eastAsia" w:eastAsia="仿宋"/>
                <w:color w:val="auto"/>
                <w:sz w:val="24"/>
                <w:szCs w:val="24"/>
              </w:rPr>
              <w:t>同时，第一事件报119，请求专业救援队伍支援。</w:t>
            </w:r>
          </w:p>
          <w:p w14:paraId="29D071A1">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w:t>
            </w:r>
            <w:r>
              <w:rPr>
                <w:rFonts w:hint="eastAsia" w:eastAsia="仿宋"/>
                <w:color w:val="auto"/>
                <w:sz w:val="24"/>
                <w:szCs w:val="24"/>
              </w:rPr>
              <w:t>额尔古纳市</w:t>
            </w:r>
            <w:r>
              <w:rPr>
                <w:rFonts w:eastAsia="仿宋"/>
                <w:color w:val="auto"/>
                <w:sz w:val="24"/>
                <w:szCs w:val="24"/>
              </w:rPr>
              <w:t>突发环境事件应急办公室接报，经事故核实和级别确认后，对初步认定为重大或特别重大的事故，应当在2小时内向呼伦贝尔市突发环境事件应急指挥部办公室汇报；呼伦贝尔市突发环境事件应急指挥部办公室接报，核实信息后在1小时内报告生态环境部；</w:t>
            </w:r>
          </w:p>
          <w:p w14:paraId="7B24B94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（6）应急救援人员到达现场后，对</w:t>
            </w:r>
            <w:r>
              <w:rPr>
                <w:rFonts w:hint="eastAsia" w:eastAsia="仿宋"/>
                <w:color w:val="auto"/>
                <w:sz w:val="24"/>
                <w:szCs w:val="24"/>
              </w:rPr>
              <w:t>火灾</w:t>
            </w:r>
            <w:r>
              <w:rPr>
                <w:rFonts w:eastAsia="仿宋"/>
                <w:color w:val="auto"/>
                <w:sz w:val="24"/>
                <w:szCs w:val="24"/>
              </w:rPr>
              <w:t>现场的污染程度进行监测分析，将监测情况报告应急指挥部；</w:t>
            </w:r>
          </w:p>
          <w:p w14:paraId="7CBBEA9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（7）事故得到控制后，由相应级别的应急指挥部办公室负责写事故分析报告并报应急指挥部；</w:t>
            </w:r>
          </w:p>
          <w:p w14:paraId="5E12360E">
            <w:pPr>
              <w:adjustRightInd w:val="0"/>
              <w:snapToGrid w:val="0"/>
              <w:spacing w:line="360" w:lineRule="auto"/>
              <w:ind w:left="600" w:hanging="600" w:hangingChars="250"/>
              <w:rPr>
                <w:rFonts w:eastAsia="仿宋"/>
                <w:color w:val="auto"/>
                <w:sz w:val="24"/>
                <w:szCs w:val="24"/>
              </w:rPr>
            </w:pPr>
            <w:r>
              <w:rPr>
                <w:rFonts w:eastAsia="仿宋"/>
                <w:color w:val="auto"/>
                <w:sz w:val="24"/>
                <w:szCs w:val="24"/>
              </w:rPr>
              <w:t>（8）事件处置过程中级别发生变化的，应当按照变化后的级别报告信息。</w:t>
            </w:r>
          </w:p>
          <w:p w14:paraId="4A8EA2AD">
            <w:pPr>
              <w:adjustRightInd w:val="0"/>
              <w:snapToGrid w:val="0"/>
              <w:spacing w:line="360" w:lineRule="auto"/>
              <w:ind w:left="600" w:hanging="600" w:hangingChars="250"/>
              <w:rPr>
                <w:rFonts w:eastAsia="仿宋"/>
                <w:color w:val="auto"/>
                <w:sz w:val="24"/>
                <w:szCs w:val="24"/>
              </w:rPr>
            </w:pPr>
            <w:r>
              <w:rPr>
                <w:rFonts w:eastAsia="仿宋"/>
                <w:color w:val="auto"/>
                <w:sz w:val="24"/>
                <w:szCs w:val="24"/>
              </w:rPr>
              <w:t>（9）事故涉及居民聚居区、学校、医院等敏感区域和敏感人群、可能产生跨区域影响或因大气污染可能引发群体性事件或社会影响较大时，应当按照重大或特别重大报告程序上报。</w:t>
            </w:r>
          </w:p>
        </w:tc>
        <w:tc>
          <w:tcPr>
            <w:tcW w:w="709" w:type="dxa"/>
            <w:vMerge w:val="restart"/>
            <w:noWrap w:val="0"/>
            <w:vAlign w:val="center"/>
          </w:tcPr>
          <w:p w14:paraId="5DE4F579">
            <w:pPr>
              <w:adjustRightInd w:val="0"/>
              <w:snapToGrid w:val="0"/>
              <w:jc w:val="center"/>
              <w:rPr>
                <w:rFonts w:eastAsia="仿宋"/>
                <w:color w:val="auto"/>
                <w:sz w:val="24"/>
                <w:szCs w:val="24"/>
              </w:rPr>
            </w:pPr>
            <w:r>
              <w:rPr>
                <w:rFonts w:eastAsia="仿宋"/>
                <w:color w:val="auto"/>
                <w:sz w:val="24"/>
                <w:szCs w:val="24"/>
              </w:rPr>
              <w:t>事故所在地行政区域人民政府或管理委员会负责人</w:t>
            </w:r>
          </w:p>
        </w:tc>
      </w:tr>
      <w:tr w14:paraId="58A727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5BCD0A54">
            <w:pPr>
              <w:adjustRightInd w:val="0"/>
              <w:snapToGrid w:val="0"/>
              <w:jc w:val="center"/>
              <w:rPr>
                <w:rFonts w:eastAsia="仿宋"/>
                <w:color w:val="auto"/>
                <w:sz w:val="24"/>
                <w:szCs w:val="24"/>
              </w:rPr>
            </w:pPr>
            <w:r>
              <w:rPr>
                <w:rFonts w:eastAsia="仿宋"/>
                <w:color w:val="auto"/>
                <w:sz w:val="24"/>
                <w:szCs w:val="24"/>
              </w:rPr>
              <w:t>上报</w:t>
            </w:r>
          </w:p>
          <w:p w14:paraId="421513E8">
            <w:pPr>
              <w:adjustRightInd w:val="0"/>
              <w:snapToGrid w:val="0"/>
              <w:jc w:val="center"/>
              <w:rPr>
                <w:rFonts w:eastAsia="仿宋"/>
                <w:color w:val="auto"/>
                <w:sz w:val="24"/>
                <w:szCs w:val="24"/>
              </w:rPr>
            </w:pPr>
            <w:r>
              <w:rPr>
                <w:rFonts w:eastAsia="仿宋"/>
                <w:color w:val="auto"/>
                <w:sz w:val="24"/>
                <w:szCs w:val="24"/>
              </w:rPr>
              <w:t>内容</w:t>
            </w:r>
          </w:p>
        </w:tc>
        <w:tc>
          <w:tcPr>
            <w:tcW w:w="6946" w:type="dxa"/>
            <w:noWrap w:val="0"/>
            <w:vAlign w:val="center"/>
          </w:tcPr>
          <w:p w14:paraId="4C521B1D">
            <w:pPr>
              <w:adjustRightInd w:val="0"/>
              <w:snapToGrid w:val="0"/>
              <w:spacing w:before="120" w:beforeLines="50" w:line="360" w:lineRule="auto"/>
              <w:rPr>
                <w:rFonts w:eastAsia="仿宋"/>
                <w:color w:val="auto"/>
                <w:sz w:val="24"/>
                <w:szCs w:val="24"/>
              </w:rPr>
            </w:pPr>
            <w:r>
              <w:rPr>
                <w:rFonts w:eastAsia="仿宋"/>
                <w:color w:val="auto"/>
                <w:sz w:val="24"/>
                <w:szCs w:val="24"/>
              </w:rPr>
              <w:t>事件发生时间、地点、事件类型、影响范围；人员遇险情况；事件原因的初步判断；已采取的应急抢救方案、措施和进展情况。</w:t>
            </w:r>
          </w:p>
        </w:tc>
        <w:tc>
          <w:tcPr>
            <w:tcW w:w="709" w:type="dxa"/>
            <w:vMerge w:val="continue"/>
            <w:noWrap w:val="0"/>
            <w:vAlign w:val="center"/>
          </w:tcPr>
          <w:p w14:paraId="20D9DF6A">
            <w:pPr>
              <w:adjustRightInd w:val="0"/>
              <w:snapToGrid w:val="0"/>
              <w:jc w:val="center"/>
              <w:rPr>
                <w:rFonts w:eastAsia="仿宋"/>
                <w:color w:val="auto"/>
                <w:sz w:val="24"/>
                <w:szCs w:val="24"/>
              </w:rPr>
            </w:pPr>
          </w:p>
        </w:tc>
      </w:tr>
      <w:tr w14:paraId="6E905B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0F7BBA37">
            <w:pPr>
              <w:adjustRightInd w:val="0"/>
              <w:snapToGrid w:val="0"/>
              <w:jc w:val="center"/>
              <w:rPr>
                <w:rFonts w:eastAsia="仿宋"/>
                <w:color w:val="auto"/>
                <w:sz w:val="24"/>
                <w:szCs w:val="24"/>
              </w:rPr>
            </w:pPr>
            <w:r>
              <w:rPr>
                <w:rFonts w:eastAsia="仿宋"/>
                <w:color w:val="auto"/>
                <w:sz w:val="24"/>
                <w:szCs w:val="24"/>
              </w:rPr>
              <w:t>预案</w:t>
            </w:r>
          </w:p>
          <w:p w14:paraId="4329533F">
            <w:pPr>
              <w:adjustRightInd w:val="0"/>
              <w:snapToGrid w:val="0"/>
              <w:jc w:val="center"/>
              <w:rPr>
                <w:rFonts w:eastAsia="仿宋"/>
                <w:color w:val="auto"/>
                <w:sz w:val="24"/>
                <w:szCs w:val="24"/>
              </w:rPr>
            </w:pPr>
            <w:r>
              <w:rPr>
                <w:rFonts w:eastAsia="仿宋"/>
                <w:color w:val="auto"/>
                <w:sz w:val="24"/>
                <w:szCs w:val="24"/>
              </w:rPr>
              <w:t>启动</w:t>
            </w:r>
          </w:p>
        </w:tc>
        <w:tc>
          <w:tcPr>
            <w:tcW w:w="6946" w:type="dxa"/>
            <w:noWrap w:val="0"/>
            <w:vAlign w:val="center"/>
          </w:tcPr>
          <w:p w14:paraId="6515DDC1">
            <w:pPr>
              <w:adjustRightInd w:val="0"/>
              <w:snapToGrid w:val="0"/>
              <w:spacing w:before="120" w:beforeLines="50" w:line="360" w:lineRule="auto"/>
              <w:rPr>
                <w:rFonts w:eastAsia="仿宋"/>
                <w:color w:val="auto"/>
                <w:sz w:val="24"/>
                <w:szCs w:val="24"/>
              </w:rPr>
            </w:pPr>
            <w:r>
              <w:rPr>
                <w:rFonts w:eastAsia="仿宋"/>
                <w:color w:val="auto"/>
                <w:sz w:val="24"/>
                <w:szCs w:val="24"/>
              </w:rPr>
              <w:t>依据突发环境事故风险等级启动相应级别的应急预案，上级应急预案启动时，下级应急预案同时启动。</w:t>
            </w:r>
          </w:p>
        </w:tc>
        <w:tc>
          <w:tcPr>
            <w:tcW w:w="709" w:type="dxa"/>
            <w:vMerge w:val="continue"/>
            <w:noWrap w:val="0"/>
            <w:vAlign w:val="center"/>
          </w:tcPr>
          <w:p w14:paraId="67193C4A">
            <w:pPr>
              <w:adjustRightInd w:val="0"/>
              <w:snapToGrid w:val="0"/>
              <w:jc w:val="center"/>
              <w:rPr>
                <w:rFonts w:eastAsia="仿宋"/>
                <w:color w:val="auto"/>
                <w:sz w:val="24"/>
                <w:szCs w:val="24"/>
              </w:rPr>
            </w:pPr>
          </w:p>
        </w:tc>
      </w:tr>
      <w:tr w14:paraId="786502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190E9B90">
            <w:pPr>
              <w:adjustRightInd w:val="0"/>
              <w:snapToGrid w:val="0"/>
              <w:jc w:val="center"/>
              <w:rPr>
                <w:rFonts w:eastAsia="仿宋"/>
                <w:color w:val="auto"/>
                <w:sz w:val="24"/>
                <w:szCs w:val="24"/>
              </w:rPr>
            </w:pPr>
            <w:r>
              <w:rPr>
                <w:rFonts w:eastAsia="仿宋"/>
                <w:color w:val="auto"/>
                <w:sz w:val="24"/>
                <w:szCs w:val="24"/>
              </w:rPr>
              <w:t>排查</w:t>
            </w:r>
          </w:p>
        </w:tc>
        <w:tc>
          <w:tcPr>
            <w:tcW w:w="6946" w:type="dxa"/>
            <w:noWrap w:val="0"/>
            <w:vAlign w:val="center"/>
          </w:tcPr>
          <w:p w14:paraId="03B1DB78">
            <w:pPr>
              <w:adjustRightInd w:val="0"/>
              <w:snapToGrid w:val="0"/>
              <w:spacing w:before="120" w:beforeLines="50" w:line="360" w:lineRule="auto"/>
              <w:rPr>
                <w:rFonts w:eastAsia="仿宋"/>
                <w:color w:val="auto"/>
                <w:sz w:val="24"/>
                <w:szCs w:val="24"/>
              </w:rPr>
            </w:pPr>
            <w:r>
              <w:rPr>
                <w:rFonts w:eastAsia="仿宋"/>
                <w:color w:val="auto"/>
                <w:sz w:val="24"/>
                <w:szCs w:val="24"/>
              </w:rPr>
              <w:t>由企业负责人尽快确定</w:t>
            </w:r>
            <w:r>
              <w:rPr>
                <w:rFonts w:hint="eastAsia" w:eastAsia="仿宋"/>
                <w:color w:val="auto"/>
                <w:sz w:val="24"/>
                <w:szCs w:val="24"/>
              </w:rPr>
              <w:t>火灾</w:t>
            </w:r>
            <w:r>
              <w:rPr>
                <w:rFonts w:eastAsia="仿宋"/>
                <w:color w:val="auto"/>
                <w:sz w:val="24"/>
                <w:szCs w:val="24"/>
              </w:rPr>
              <w:t>原因和</w:t>
            </w:r>
            <w:r>
              <w:rPr>
                <w:rFonts w:hint="eastAsia" w:eastAsia="仿宋"/>
                <w:color w:val="auto"/>
                <w:sz w:val="24"/>
                <w:szCs w:val="24"/>
              </w:rPr>
              <w:t>事故的</w:t>
            </w:r>
            <w:r>
              <w:rPr>
                <w:rFonts w:eastAsia="仿宋"/>
                <w:color w:val="auto"/>
                <w:sz w:val="24"/>
                <w:szCs w:val="24"/>
              </w:rPr>
              <w:t>预期发展趋势；</w:t>
            </w:r>
          </w:p>
        </w:tc>
        <w:tc>
          <w:tcPr>
            <w:tcW w:w="709" w:type="dxa"/>
            <w:vMerge w:val="continue"/>
            <w:noWrap w:val="0"/>
            <w:vAlign w:val="center"/>
          </w:tcPr>
          <w:p w14:paraId="5E7A23A6">
            <w:pPr>
              <w:adjustRightInd w:val="0"/>
              <w:snapToGrid w:val="0"/>
              <w:jc w:val="center"/>
              <w:rPr>
                <w:rFonts w:eastAsia="仿宋"/>
                <w:color w:val="auto"/>
                <w:sz w:val="24"/>
                <w:szCs w:val="24"/>
              </w:rPr>
            </w:pPr>
          </w:p>
        </w:tc>
      </w:tr>
      <w:tr w14:paraId="327B2F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240B72FF">
            <w:pPr>
              <w:adjustRightInd w:val="0"/>
              <w:snapToGrid w:val="0"/>
              <w:jc w:val="center"/>
              <w:rPr>
                <w:rFonts w:eastAsia="仿宋"/>
                <w:color w:val="auto"/>
                <w:sz w:val="24"/>
                <w:szCs w:val="24"/>
              </w:rPr>
            </w:pPr>
            <w:r>
              <w:rPr>
                <w:rFonts w:eastAsia="仿宋"/>
                <w:color w:val="auto"/>
                <w:sz w:val="24"/>
                <w:szCs w:val="24"/>
              </w:rPr>
              <w:t>控源截污</w:t>
            </w:r>
          </w:p>
        </w:tc>
        <w:tc>
          <w:tcPr>
            <w:tcW w:w="6946" w:type="dxa"/>
            <w:noWrap w:val="0"/>
            <w:vAlign w:val="center"/>
          </w:tcPr>
          <w:p w14:paraId="10471435">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（1）封堵漏点，隔离</w:t>
            </w:r>
            <w:r>
              <w:rPr>
                <w:rFonts w:hint="eastAsia" w:eastAsia="仿宋"/>
                <w:color w:val="auto"/>
                <w:sz w:val="24"/>
                <w:szCs w:val="24"/>
              </w:rPr>
              <w:t>火灾</w:t>
            </w:r>
            <w:r>
              <w:rPr>
                <w:rFonts w:eastAsia="仿宋"/>
                <w:color w:val="auto"/>
                <w:sz w:val="24"/>
                <w:szCs w:val="24"/>
              </w:rPr>
              <w:t>区域，切断污染源向外环境扩散；</w:t>
            </w:r>
          </w:p>
          <w:p w14:paraId="3E76D436">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（2）对于加油机着火，安全员切断加油机的电源，现场第一发人用石棉被覆盖或用灭火器进行灭火；</w:t>
            </w:r>
          </w:p>
          <w:p w14:paraId="570F0557">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（3）油料外溢引起车辆和地面着火，采用灭火器、消防沙、石棉被同时对地面和车辆进行扑救，也可将车辆移出站外对其灭火；</w:t>
            </w:r>
          </w:p>
          <w:p w14:paraId="7F1AF14B">
            <w:pPr>
              <w:adjustRightInd w:val="0"/>
              <w:snapToGrid w:val="0"/>
              <w:spacing w:line="360" w:lineRule="auto"/>
              <w:rPr>
                <w:rFonts w:eastAsia="仿宋"/>
                <w:color w:val="auto"/>
                <w:sz w:val="24"/>
                <w:szCs w:val="24"/>
              </w:rPr>
            </w:pPr>
            <w:r>
              <w:rPr>
                <w:rFonts w:eastAsia="仿宋"/>
                <w:color w:val="auto"/>
                <w:sz w:val="24"/>
                <w:szCs w:val="24"/>
              </w:rPr>
              <w:t>（</w:t>
            </w:r>
            <w:r>
              <w:rPr>
                <w:rFonts w:hint="eastAsia" w:eastAsia="仿宋"/>
                <w:color w:val="auto"/>
                <w:sz w:val="24"/>
                <w:szCs w:val="24"/>
              </w:rPr>
              <w:t>4</w:t>
            </w:r>
            <w:r>
              <w:rPr>
                <w:rFonts w:eastAsia="仿宋"/>
                <w:color w:val="auto"/>
                <w:sz w:val="24"/>
                <w:szCs w:val="24"/>
              </w:rPr>
              <w:t>）</w:t>
            </w:r>
            <w:r>
              <w:rPr>
                <w:rFonts w:hint="eastAsia" w:eastAsia="仿宋"/>
                <w:color w:val="auto"/>
                <w:sz w:val="24"/>
                <w:szCs w:val="24"/>
              </w:rPr>
              <w:t>当火势扩大依靠企业力量无法控制时，由专业消防救援队伍尽快控制火势</w:t>
            </w:r>
            <w:r>
              <w:rPr>
                <w:rFonts w:eastAsia="仿宋"/>
                <w:color w:val="auto"/>
                <w:sz w:val="24"/>
                <w:szCs w:val="24"/>
              </w:rPr>
              <w:t>。</w:t>
            </w:r>
          </w:p>
        </w:tc>
        <w:tc>
          <w:tcPr>
            <w:tcW w:w="709" w:type="dxa"/>
            <w:vMerge w:val="continue"/>
            <w:noWrap w:val="0"/>
            <w:vAlign w:val="center"/>
          </w:tcPr>
          <w:p w14:paraId="204A1469">
            <w:pPr>
              <w:adjustRightInd w:val="0"/>
              <w:snapToGrid w:val="0"/>
              <w:jc w:val="center"/>
              <w:rPr>
                <w:rFonts w:eastAsia="仿宋"/>
                <w:color w:val="auto"/>
                <w:sz w:val="24"/>
                <w:szCs w:val="24"/>
              </w:rPr>
            </w:pPr>
          </w:p>
        </w:tc>
      </w:tr>
      <w:tr w14:paraId="3631CC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1D3C0B6A">
            <w:pPr>
              <w:adjustRightInd w:val="0"/>
              <w:snapToGrid w:val="0"/>
              <w:jc w:val="center"/>
              <w:rPr>
                <w:rFonts w:eastAsia="仿宋"/>
                <w:color w:val="auto"/>
                <w:sz w:val="24"/>
                <w:szCs w:val="24"/>
              </w:rPr>
            </w:pPr>
            <w:r>
              <w:rPr>
                <w:rFonts w:eastAsia="仿宋"/>
                <w:color w:val="auto"/>
                <w:sz w:val="24"/>
                <w:szCs w:val="24"/>
              </w:rPr>
              <w:t>检测</w:t>
            </w:r>
          </w:p>
        </w:tc>
        <w:tc>
          <w:tcPr>
            <w:tcW w:w="6946" w:type="dxa"/>
            <w:noWrap w:val="0"/>
            <w:vAlign w:val="center"/>
          </w:tcPr>
          <w:p w14:paraId="7102A74D">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（1）由专业技术人员进行</w:t>
            </w:r>
            <w:r>
              <w:rPr>
                <w:rFonts w:hint="eastAsia" w:eastAsia="仿宋"/>
                <w:color w:val="auto"/>
                <w:sz w:val="24"/>
                <w:szCs w:val="24"/>
              </w:rPr>
              <w:t>周边大气环境质量</w:t>
            </w:r>
            <w:r>
              <w:rPr>
                <w:rFonts w:eastAsia="仿宋"/>
                <w:color w:val="auto"/>
                <w:sz w:val="24"/>
                <w:szCs w:val="24"/>
              </w:rPr>
              <w:t>现场检测；</w:t>
            </w:r>
          </w:p>
          <w:p w14:paraId="23C3062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（2）以</w:t>
            </w:r>
            <w:r>
              <w:rPr>
                <w:rFonts w:hint="eastAsia" w:eastAsia="仿宋"/>
                <w:color w:val="auto"/>
                <w:sz w:val="24"/>
                <w:szCs w:val="24"/>
              </w:rPr>
              <w:t>事故</w:t>
            </w:r>
            <w:r>
              <w:rPr>
                <w:rFonts w:eastAsia="仿宋"/>
                <w:color w:val="auto"/>
                <w:sz w:val="24"/>
                <w:szCs w:val="24"/>
              </w:rPr>
              <w:t>地为中心，在下风向按一定间隔的扇形或圆形布点，并根据污染物的特性在不同高度采样，同时在事故点的上风向适当位置布设对照点；在可能受污染影响的居民住宅区或人群活动区等敏感点必须设置采样点，采样过程中应注意风向变化，及时调整采样点位置。在事故发生地周围居民区等敏感区域，初始加密（6次/天）监测，随着污染物浓度的下降逐渐降低频次</w:t>
            </w:r>
            <w:r>
              <w:rPr>
                <w:rFonts w:hint="eastAsia" w:eastAsia="仿宋"/>
                <w:color w:val="auto"/>
                <w:sz w:val="24"/>
                <w:szCs w:val="24"/>
              </w:rPr>
              <w:t>。在上风向和下风向每天监测4次。根据需要</w:t>
            </w:r>
            <w:r>
              <w:rPr>
                <w:rFonts w:eastAsia="仿宋"/>
                <w:color w:val="auto"/>
                <w:sz w:val="24"/>
                <w:szCs w:val="24"/>
              </w:rPr>
              <w:t>可适当增加或降低监测频次</w:t>
            </w:r>
            <w:r>
              <w:rPr>
                <w:rFonts w:hint="eastAsia" w:eastAsia="仿宋"/>
                <w:color w:val="auto"/>
                <w:sz w:val="24"/>
                <w:szCs w:val="24"/>
              </w:rPr>
              <w:t>。</w:t>
            </w:r>
          </w:p>
        </w:tc>
        <w:tc>
          <w:tcPr>
            <w:tcW w:w="709" w:type="dxa"/>
            <w:vMerge w:val="continue"/>
            <w:noWrap w:val="0"/>
            <w:vAlign w:val="center"/>
          </w:tcPr>
          <w:p w14:paraId="41434934">
            <w:pPr>
              <w:adjustRightInd w:val="0"/>
              <w:snapToGrid w:val="0"/>
              <w:jc w:val="center"/>
              <w:rPr>
                <w:rFonts w:eastAsia="仿宋"/>
                <w:color w:val="auto"/>
                <w:sz w:val="24"/>
                <w:szCs w:val="24"/>
              </w:rPr>
            </w:pPr>
          </w:p>
        </w:tc>
      </w:tr>
      <w:tr w14:paraId="250CB3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71AD7F28">
            <w:pPr>
              <w:adjustRightInd w:val="0"/>
              <w:snapToGrid w:val="0"/>
              <w:jc w:val="center"/>
              <w:rPr>
                <w:rFonts w:eastAsia="仿宋"/>
                <w:color w:val="auto"/>
                <w:sz w:val="24"/>
                <w:szCs w:val="24"/>
              </w:rPr>
            </w:pPr>
            <w:r>
              <w:rPr>
                <w:rFonts w:eastAsia="仿宋"/>
                <w:color w:val="auto"/>
                <w:sz w:val="24"/>
                <w:szCs w:val="24"/>
              </w:rPr>
              <w:t>后勤保障</w:t>
            </w:r>
          </w:p>
        </w:tc>
        <w:tc>
          <w:tcPr>
            <w:tcW w:w="6946" w:type="dxa"/>
            <w:noWrap w:val="0"/>
            <w:vAlign w:val="center"/>
          </w:tcPr>
          <w:p w14:paraId="427B74EA">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（1）应急车辆的安排和调配；</w:t>
            </w:r>
          </w:p>
          <w:p w14:paraId="49F3F9F8">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（2）应急救援物资及临时人员安置物资调拨和紧急配送；</w:t>
            </w:r>
          </w:p>
          <w:p w14:paraId="096AED94">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（3）交通调度；</w:t>
            </w:r>
          </w:p>
          <w:p w14:paraId="5448A22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w:t>
            </w:r>
            <w:r>
              <w:rPr>
                <w:rFonts w:hint="eastAsia" w:eastAsia="仿宋"/>
                <w:color w:val="auto"/>
                <w:sz w:val="24"/>
                <w:szCs w:val="24"/>
              </w:rPr>
              <w:t>4</w:t>
            </w:r>
            <w:r>
              <w:rPr>
                <w:rFonts w:eastAsia="仿宋"/>
                <w:color w:val="auto"/>
                <w:sz w:val="24"/>
                <w:szCs w:val="24"/>
              </w:rPr>
              <w:t>）提供应急救援资金。</w:t>
            </w:r>
          </w:p>
        </w:tc>
        <w:tc>
          <w:tcPr>
            <w:tcW w:w="709" w:type="dxa"/>
            <w:vMerge w:val="continue"/>
            <w:noWrap w:val="0"/>
            <w:vAlign w:val="center"/>
          </w:tcPr>
          <w:p w14:paraId="4AE476CA">
            <w:pPr>
              <w:adjustRightInd w:val="0"/>
              <w:snapToGrid w:val="0"/>
              <w:jc w:val="center"/>
              <w:rPr>
                <w:rFonts w:eastAsia="仿宋"/>
                <w:color w:val="auto"/>
                <w:sz w:val="24"/>
                <w:szCs w:val="24"/>
              </w:rPr>
            </w:pPr>
          </w:p>
        </w:tc>
      </w:tr>
      <w:tr w14:paraId="0D7BE1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4EFF62AE">
            <w:pPr>
              <w:adjustRightInd w:val="0"/>
              <w:snapToGrid w:val="0"/>
              <w:jc w:val="center"/>
              <w:rPr>
                <w:rFonts w:eastAsia="仿宋"/>
                <w:color w:val="auto"/>
                <w:sz w:val="24"/>
                <w:szCs w:val="24"/>
              </w:rPr>
            </w:pPr>
            <w:r>
              <w:rPr>
                <w:rFonts w:eastAsia="仿宋"/>
                <w:color w:val="auto"/>
                <w:sz w:val="24"/>
                <w:szCs w:val="24"/>
              </w:rPr>
              <w:t>恢复处置</w:t>
            </w:r>
          </w:p>
        </w:tc>
        <w:tc>
          <w:tcPr>
            <w:tcW w:w="6946" w:type="dxa"/>
            <w:noWrap w:val="0"/>
            <w:vAlign w:val="center"/>
          </w:tcPr>
          <w:p w14:paraId="00C33755">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（1）群众回迁；</w:t>
            </w:r>
          </w:p>
          <w:p w14:paraId="7D0ECBF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（2）工艺设施维修、鉴定和恢复生产；</w:t>
            </w:r>
          </w:p>
          <w:p w14:paraId="7EF86A73">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（3）责任赔偿。</w:t>
            </w:r>
          </w:p>
        </w:tc>
        <w:tc>
          <w:tcPr>
            <w:tcW w:w="709" w:type="dxa"/>
            <w:vMerge w:val="continue"/>
            <w:noWrap w:val="0"/>
            <w:vAlign w:val="center"/>
          </w:tcPr>
          <w:p w14:paraId="557F8228">
            <w:pPr>
              <w:adjustRightInd w:val="0"/>
              <w:snapToGrid w:val="0"/>
              <w:jc w:val="center"/>
              <w:rPr>
                <w:rFonts w:eastAsia="仿宋"/>
                <w:color w:val="auto"/>
                <w:sz w:val="24"/>
                <w:szCs w:val="24"/>
              </w:rPr>
            </w:pPr>
          </w:p>
        </w:tc>
      </w:tr>
      <w:tr w14:paraId="6D53C0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615EE1B2">
            <w:pPr>
              <w:adjustRightInd w:val="0"/>
              <w:snapToGrid w:val="0"/>
              <w:jc w:val="center"/>
              <w:rPr>
                <w:rFonts w:eastAsia="仿宋"/>
                <w:color w:val="auto"/>
                <w:sz w:val="24"/>
                <w:szCs w:val="24"/>
              </w:rPr>
            </w:pPr>
            <w:r>
              <w:rPr>
                <w:rFonts w:eastAsia="仿宋"/>
                <w:color w:val="auto"/>
                <w:sz w:val="24"/>
                <w:szCs w:val="24"/>
              </w:rPr>
              <w:t>注意事项</w:t>
            </w:r>
          </w:p>
        </w:tc>
        <w:tc>
          <w:tcPr>
            <w:tcW w:w="6946" w:type="dxa"/>
            <w:noWrap w:val="0"/>
            <w:vAlign w:val="center"/>
          </w:tcPr>
          <w:p w14:paraId="7F6E172D">
            <w:pPr>
              <w:adjustRightInd w:val="0"/>
              <w:snapToGrid w:val="0"/>
              <w:spacing w:before="120" w:beforeLines="50" w:line="360" w:lineRule="auto"/>
              <w:rPr>
                <w:rFonts w:eastAsia="仿宋"/>
                <w:color w:val="auto"/>
                <w:sz w:val="24"/>
                <w:szCs w:val="24"/>
              </w:rPr>
            </w:pPr>
            <w:r>
              <w:rPr>
                <w:rFonts w:eastAsia="仿宋"/>
                <w:color w:val="auto"/>
                <w:sz w:val="24"/>
                <w:szCs w:val="24"/>
              </w:rPr>
              <w:t>参与应急救援的相关人员需配备防爆型防具，</w:t>
            </w:r>
            <w:r>
              <w:rPr>
                <w:rFonts w:hint="eastAsia" w:eastAsia="仿宋"/>
                <w:color w:val="auto"/>
                <w:sz w:val="24"/>
                <w:szCs w:val="24"/>
              </w:rPr>
              <w:t>穿防火服</w:t>
            </w:r>
            <w:r>
              <w:rPr>
                <w:rFonts w:eastAsia="仿宋"/>
                <w:color w:val="auto"/>
                <w:sz w:val="24"/>
                <w:szCs w:val="24"/>
              </w:rPr>
              <w:t>。</w:t>
            </w:r>
          </w:p>
        </w:tc>
        <w:tc>
          <w:tcPr>
            <w:tcW w:w="709" w:type="dxa"/>
            <w:noWrap w:val="0"/>
            <w:vAlign w:val="center"/>
          </w:tcPr>
          <w:p w14:paraId="22287549">
            <w:pPr>
              <w:adjustRightInd w:val="0"/>
              <w:snapToGrid w:val="0"/>
              <w:jc w:val="center"/>
              <w:rPr>
                <w:rFonts w:eastAsia="仿宋"/>
                <w:color w:val="auto"/>
                <w:sz w:val="24"/>
                <w:szCs w:val="24"/>
              </w:rPr>
            </w:pPr>
          </w:p>
        </w:tc>
      </w:tr>
    </w:tbl>
    <w:p w14:paraId="735D51B4">
      <w:pPr>
        <w:jc w:val="center"/>
        <w:rPr>
          <w:color w:val="auto"/>
        </w:rPr>
      </w:pPr>
    </w:p>
    <w:p w14:paraId="45BC3FD2">
      <w:pPr>
        <w:adjustRightInd w:val="0"/>
        <w:snapToGrid w:val="0"/>
        <w:spacing w:before="120" w:after="120" w:line="360" w:lineRule="auto"/>
        <w:jc w:val="center"/>
        <w:rPr>
          <w:rFonts w:ascii="仿宋" w:hAnsi="仿宋" w:eastAsia="仿宋"/>
          <w:color w:val="auto"/>
          <w:sz w:val="24"/>
          <w:szCs w:val="24"/>
        </w:rPr>
      </w:pPr>
      <w:r>
        <w:rPr>
          <w:rFonts w:eastAsia="仿宋"/>
          <w:color w:val="auto"/>
          <w:sz w:val="24"/>
          <w:szCs w:val="24"/>
        </w:rPr>
        <w:br w:type="page"/>
      </w:r>
      <w:r>
        <w:rPr>
          <w:rFonts w:hint="eastAsia" w:ascii="仿宋" w:hAnsi="仿宋" w:eastAsia="仿宋"/>
          <w:color w:val="auto"/>
          <w:sz w:val="24"/>
          <w:szCs w:val="24"/>
        </w:rPr>
        <w:t>一氧化碳</w:t>
      </w:r>
      <w:r>
        <w:rPr>
          <w:rFonts w:ascii="仿宋" w:hAnsi="仿宋" w:eastAsia="仿宋"/>
          <w:color w:val="auto"/>
          <w:sz w:val="24"/>
          <w:szCs w:val="24"/>
        </w:rPr>
        <w:t>泄漏</w:t>
      </w:r>
      <w:r>
        <w:rPr>
          <w:rFonts w:hint="eastAsia" w:ascii="仿宋" w:hAnsi="仿宋" w:eastAsia="仿宋"/>
          <w:color w:val="auto"/>
          <w:sz w:val="24"/>
          <w:szCs w:val="24"/>
        </w:rPr>
        <w:t>事故</w:t>
      </w:r>
      <w:r>
        <w:rPr>
          <w:rFonts w:ascii="仿宋" w:hAnsi="仿宋" w:eastAsia="仿宋"/>
          <w:color w:val="auto"/>
          <w:sz w:val="24"/>
          <w:szCs w:val="24"/>
        </w:rPr>
        <w:t>现场应急处置卡</w:t>
      </w:r>
    </w:p>
    <w:tbl>
      <w:tblPr>
        <w:tblStyle w:val="21"/>
        <w:tblW w:w="8359"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6946"/>
        <w:gridCol w:w="709"/>
      </w:tblGrid>
      <w:tr w14:paraId="3A51DE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4" w:type="dxa"/>
            <w:noWrap w:val="0"/>
            <w:vAlign w:val="center"/>
          </w:tcPr>
          <w:p w14:paraId="10D90074">
            <w:pPr>
              <w:adjustRightInd w:val="0"/>
              <w:snapToGrid w:val="0"/>
              <w:jc w:val="center"/>
              <w:rPr>
                <w:rFonts w:eastAsia="仿宋"/>
                <w:color w:val="auto"/>
                <w:sz w:val="24"/>
                <w:szCs w:val="24"/>
              </w:rPr>
            </w:pPr>
            <w:r>
              <w:rPr>
                <w:rFonts w:eastAsia="仿宋"/>
                <w:color w:val="auto"/>
                <w:sz w:val="24"/>
                <w:szCs w:val="24"/>
              </w:rPr>
              <w:t>类别</w:t>
            </w:r>
          </w:p>
        </w:tc>
        <w:tc>
          <w:tcPr>
            <w:tcW w:w="7655" w:type="dxa"/>
            <w:gridSpan w:val="2"/>
            <w:noWrap w:val="0"/>
            <w:vAlign w:val="center"/>
          </w:tcPr>
          <w:p w14:paraId="23C7C9D9">
            <w:pPr>
              <w:adjustRightInd w:val="0"/>
              <w:snapToGrid w:val="0"/>
              <w:jc w:val="center"/>
              <w:rPr>
                <w:rFonts w:eastAsia="仿宋"/>
                <w:color w:val="auto"/>
                <w:sz w:val="24"/>
                <w:szCs w:val="24"/>
              </w:rPr>
            </w:pPr>
            <w:r>
              <w:rPr>
                <w:rFonts w:eastAsia="仿宋"/>
                <w:color w:val="auto"/>
                <w:sz w:val="24"/>
                <w:szCs w:val="24"/>
              </w:rPr>
              <w:t>内容</w:t>
            </w:r>
          </w:p>
        </w:tc>
      </w:tr>
      <w:tr w14:paraId="2396FF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359" w:type="dxa"/>
            <w:gridSpan w:val="3"/>
            <w:noWrap w:val="0"/>
            <w:vAlign w:val="center"/>
          </w:tcPr>
          <w:p w14:paraId="6392FCDA">
            <w:pPr>
              <w:adjustRightInd w:val="0"/>
              <w:snapToGrid w:val="0"/>
              <w:spacing w:before="120" w:beforeLines="50" w:line="360" w:lineRule="auto"/>
              <w:rPr>
                <w:rFonts w:eastAsia="仿宋"/>
                <w:color w:val="auto"/>
                <w:sz w:val="24"/>
                <w:szCs w:val="24"/>
              </w:rPr>
            </w:pPr>
            <w:r>
              <w:rPr>
                <w:rFonts w:eastAsia="仿宋"/>
                <w:color w:val="auto"/>
                <w:sz w:val="24"/>
                <w:szCs w:val="24"/>
              </w:rPr>
              <w:t>风险描述：CO具有高度易燃性，遇明火、高热能引起燃烧爆炸；CO与人体中的血红蛋白结合将导致携氧能力变差，危及人类生命。</w:t>
            </w:r>
          </w:p>
        </w:tc>
      </w:tr>
      <w:tr w14:paraId="3FD626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67110B7C">
            <w:pPr>
              <w:adjustRightInd w:val="0"/>
              <w:snapToGrid w:val="0"/>
              <w:jc w:val="center"/>
              <w:rPr>
                <w:rFonts w:eastAsia="仿宋"/>
                <w:color w:val="auto"/>
                <w:sz w:val="24"/>
                <w:szCs w:val="24"/>
              </w:rPr>
            </w:pPr>
            <w:r>
              <w:rPr>
                <w:rFonts w:eastAsia="仿宋"/>
                <w:color w:val="auto"/>
                <w:sz w:val="24"/>
                <w:szCs w:val="24"/>
              </w:rPr>
              <w:t>应急</w:t>
            </w:r>
          </w:p>
          <w:p w14:paraId="4B6A8CCC">
            <w:pPr>
              <w:adjustRightInd w:val="0"/>
              <w:snapToGrid w:val="0"/>
              <w:jc w:val="center"/>
              <w:rPr>
                <w:rFonts w:eastAsia="仿宋"/>
                <w:color w:val="auto"/>
                <w:sz w:val="24"/>
                <w:szCs w:val="24"/>
              </w:rPr>
            </w:pPr>
            <w:r>
              <w:rPr>
                <w:rFonts w:eastAsia="仿宋"/>
                <w:color w:val="auto"/>
                <w:sz w:val="24"/>
                <w:szCs w:val="24"/>
              </w:rPr>
              <w:t>程序</w:t>
            </w:r>
          </w:p>
        </w:tc>
        <w:tc>
          <w:tcPr>
            <w:tcW w:w="6946" w:type="dxa"/>
            <w:noWrap w:val="0"/>
            <w:vAlign w:val="center"/>
          </w:tcPr>
          <w:p w14:paraId="12756C9E">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（1）接警、确定事件级别，并上报上级部门；</w:t>
            </w:r>
          </w:p>
          <w:p w14:paraId="57FFA4B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（2）由相应级别的突发环境事件应急指挥部启动应急预案，赴现场指挥应急救援工作；</w:t>
            </w:r>
          </w:p>
          <w:p w14:paraId="3BF95709">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（3）若事件的影响超出企业范围或可能超出企业范围，由乡镇、街道/责任人负责组织专业人员进行先期处置，控制事态发展；在上级指挥人员到场后，乡镇、街道/责任人负责各项应急处置措施、方案的落实；</w:t>
            </w:r>
          </w:p>
          <w:p w14:paraId="6CC107F4">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（4）确定泄漏时间或预计持续时间，估算泄漏量，对污染物扩散趋势进行预测。同时，制订监测方案，开展应急监测，尽快确定污染范围和程度；</w:t>
            </w:r>
          </w:p>
          <w:p w14:paraId="38EEE44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（5）确定事发地周边环境风险受体的分布，及时对可能受到影响的群众进行疏散；</w:t>
            </w:r>
          </w:p>
          <w:p w14:paraId="55DC966F">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（6）应急保障组负责应急救援物资的协调、补充和供应，应急疏散群众的基本生活保障；</w:t>
            </w:r>
          </w:p>
          <w:p w14:paraId="08F8E96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（7）制定工艺、设备和事故现场的恢复措施。</w:t>
            </w:r>
          </w:p>
        </w:tc>
        <w:tc>
          <w:tcPr>
            <w:tcW w:w="709" w:type="dxa"/>
            <w:noWrap w:val="0"/>
            <w:vAlign w:val="center"/>
          </w:tcPr>
          <w:p w14:paraId="63374363">
            <w:pPr>
              <w:adjustRightInd w:val="0"/>
              <w:snapToGrid w:val="0"/>
              <w:jc w:val="center"/>
              <w:rPr>
                <w:rFonts w:eastAsia="仿宋"/>
                <w:color w:val="auto"/>
                <w:sz w:val="24"/>
                <w:szCs w:val="24"/>
              </w:rPr>
            </w:pPr>
            <w:r>
              <w:rPr>
                <w:rFonts w:eastAsia="仿宋"/>
                <w:color w:val="auto"/>
                <w:sz w:val="24"/>
                <w:szCs w:val="24"/>
              </w:rPr>
              <w:t>责任</w:t>
            </w:r>
          </w:p>
          <w:p w14:paraId="032161FE">
            <w:pPr>
              <w:adjustRightInd w:val="0"/>
              <w:snapToGrid w:val="0"/>
              <w:jc w:val="center"/>
              <w:rPr>
                <w:rFonts w:eastAsia="仿宋"/>
                <w:color w:val="auto"/>
                <w:sz w:val="24"/>
                <w:szCs w:val="24"/>
              </w:rPr>
            </w:pPr>
            <w:r>
              <w:rPr>
                <w:rFonts w:eastAsia="仿宋"/>
                <w:color w:val="auto"/>
                <w:sz w:val="24"/>
                <w:szCs w:val="24"/>
              </w:rPr>
              <w:t>岗位</w:t>
            </w:r>
          </w:p>
        </w:tc>
      </w:tr>
      <w:tr w14:paraId="315CD6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01120B69">
            <w:pPr>
              <w:adjustRightInd w:val="0"/>
              <w:snapToGrid w:val="0"/>
              <w:jc w:val="center"/>
              <w:rPr>
                <w:rFonts w:eastAsia="仿宋"/>
                <w:color w:val="auto"/>
                <w:sz w:val="24"/>
                <w:szCs w:val="24"/>
              </w:rPr>
            </w:pPr>
            <w:r>
              <w:rPr>
                <w:rFonts w:eastAsia="仿宋"/>
                <w:color w:val="auto"/>
                <w:sz w:val="24"/>
                <w:szCs w:val="24"/>
              </w:rPr>
              <w:t>报告</w:t>
            </w:r>
          </w:p>
          <w:p w14:paraId="5A73E545">
            <w:pPr>
              <w:adjustRightInd w:val="0"/>
              <w:snapToGrid w:val="0"/>
              <w:jc w:val="center"/>
              <w:rPr>
                <w:rFonts w:eastAsia="仿宋"/>
                <w:color w:val="auto"/>
                <w:sz w:val="24"/>
                <w:szCs w:val="24"/>
              </w:rPr>
            </w:pPr>
            <w:r>
              <w:rPr>
                <w:rFonts w:eastAsia="仿宋"/>
                <w:color w:val="auto"/>
                <w:sz w:val="24"/>
                <w:szCs w:val="24"/>
              </w:rPr>
              <w:t>程序</w:t>
            </w:r>
          </w:p>
        </w:tc>
        <w:tc>
          <w:tcPr>
            <w:tcW w:w="6946" w:type="dxa"/>
            <w:noWrap w:val="0"/>
            <w:vAlign w:val="center"/>
          </w:tcPr>
          <w:p w14:paraId="36F109A3">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（1）泄漏事故发生后，最早发现者和事故部门应立即报告部门负责人和企业应急救援办公室；</w:t>
            </w:r>
          </w:p>
          <w:p w14:paraId="4FA2E7C5">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（2）企业应急救援办公室接到报告并核实后，报告企业应急救援指挥部、应急救援指挥部、乡镇/街道人民政府或乡镇/街道应急指挥部；</w:t>
            </w:r>
          </w:p>
          <w:p w14:paraId="3DFB7683">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（3）企业、、乡镇/街道应急指挥部办公室对事件的性质和级别做出初步认定，总指挥根据事件的级别确定是否上报；</w:t>
            </w:r>
          </w:p>
          <w:p w14:paraId="3FD0DC24">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（4）对初步认定为一般或较大的突发环境事件，应在接报4后小时内上报</w:t>
            </w:r>
            <w:r>
              <w:rPr>
                <w:rFonts w:hint="eastAsia" w:eastAsia="仿宋"/>
                <w:color w:val="auto"/>
                <w:sz w:val="24"/>
                <w:szCs w:val="24"/>
              </w:rPr>
              <w:t>额尔古纳市</w:t>
            </w:r>
            <w:r>
              <w:rPr>
                <w:rFonts w:eastAsia="仿宋"/>
                <w:color w:val="auto"/>
                <w:sz w:val="24"/>
                <w:szCs w:val="24"/>
              </w:rPr>
              <w:t>突发环境事件应急办公室；</w:t>
            </w:r>
          </w:p>
          <w:p w14:paraId="51546B34">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w:t>
            </w:r>
            <w:r>
              <w:rPr>
                <w:rFonts w:hint="eastAsia" w:eastAsia="仿宋"/>
                <w:color w:val="auto"/>
                <w:sz w:val="24"/>
                <w:szCs w:val="24"/>
              </w:rPr>
              <w:t>额尔古纳市</w:t>
            </w:r>
            <w:r>
              <w:rPr>
                <w:rFonts w:eastAsia="仿宋"/>
                <w:color w:val="auto"/>
                <w:sz w:val="24"/>
                <w:szCs w:val="24"/>
              </w:rPr>
              <w:t>突发环境事件应急办公室接报，经事故核实和级别确认后，对初步认定为重大或特别重大的事故，应当在2小时内向呼伦贝尔市突发环境事件应急指挥部办公室汇报；呼伦贝尔市突发环境事件应急指挥部办公室接报，核实信息后在1小时内报告生态环境部；</w:t>
            </w:r>
          </w:p>
          <w:p w14:paraId="0A9D8DB5">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（6）应急救援人员到达现场后，对泄漏现场的污染程度进行监测分析，将监测情况报告应急指挥部；</w:t>
            </w:r>
          </w:p>
          <w:p w14:paraId="61F65D3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（7）事故得到控制后，由相应级别的应急指挥部办公室负责写事故分析报告并报应急指挥部；</w:t>
            </w:r>
          </w:p>
          <w:p w14:paraId="727EB45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（8）突发环境事件处置过程中事件级别发生变化的，应当按照变化后的级别报告信息。</w:t>
            </w:r>
          </w:p>
          <w:p w14:paraId="424F63B1">
            <w:pPr>
              <w:adjustRightInd w:val="0"/>
              <w:snapToGrid w:val="0"/>
              <w:spacing w:line="360" w:lineRule="auto"/>
              <w:ind w:left="600" w:hanging="600" w:hangingChars="250"/>
              <w:rPr>
                <w:rFonts w:eastAsia="仿宋"/>
                <w:color w:val="auto"/>
                <w:sz w:val="24"/>
                <w:szCs w:val="24"/>
              </w:rPr>
            </w:pPr>
            <w:r>
              <w:rPr>
                <w:rFonts w:eastAsia="仿宋"/>
                <w:color w:val="auto"/>
                <w:sz w:val="24"/>
                <w:szCs w:val="24"/>
              </w:rPr>
              <w:t>（9）事故涉及居民聚居区、学校、医院等敏感区域和敏感人群、可能产生跨区域影响或因大气污染可能引发群体性事件或社会影响较大时，应当按照重大或特别重大的报告程序上报。</w:t>
            </w:r>
          </w:p>
        </w:tc>
        <w:tc>
          <w:tcPr>
            <w:tcW w:w="709" w:type="dxa"/>
            <w:vMerge w:val="restart"/>
            <w:noWrap w:val="0"/>
            <w:vAlign w:val="center"/>
          </w:tcPr>
          <w:p w14:paraId="6B32D2AF">
            <w:pPr>
              <w:adjustRightInd w:val="0"/>
              <w:snapToGrid w:val="0"/>
              <w:jc w:val="center"/>
              <w:rPr>
                <w:rFonts w:eastAsia="仿宋"/>
                <w:color w:val="auto"/>
                <w:sz w:val="24"/>
                <w:szCs w:val="24"/>
              </w:rPr>
            </w:pPr>
            <w:r>
              <w:rPr>
                <w:rFonts w:eastAsia="仿宋"/>
                <w:color w:val="auto"/>
                <w:sz w:val="24"/>
                <w:szCs w:val="24"/>
              </w:rPr>
              <w:t>事故所在地行政区域人民政府或管理委员会负责人</w:t>
            </w:r>
          </w:p>
        </w:tc>
      </w:tr>
      <w:tr w14:paraId="4BD949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0B67DC52">
            <w:pPr>
              <w:adjustRightInd w:val="0"/>
              <w:snapToGrid w:val="0"/>
              <w:jc w:val="center"/>
              <w:rPr>
                <w:rFonts w:eastAsia="仿宋"/>
                <w:color w:val="auto"/>
                <w:sz w:val="24"/>
                <w:szCs w:val="24"/>
              </w:rPr>
            </w:pPr>
            <w:r>
              <w:rPr>
                <w:rFonts w:eastAsia="仿宋"/>
                <w:color w:val="auto"/>
                <w:sz w:val="24"/>
                <w:szCs w:val="24"/>
              </w:rPr>
              <w:t>上报</w:t>
            </w:r>
          </w:p>
          <w:p w14:paraId="54B795FF">
            <w:pPr>
              <w:adjustRightInd w:val="0"/>
              <w:snapToGrid w:val="0"/>
              <w:jc w:val="center"/>
              <w:rPr>
                <w:rFonts w:eastAsia="仿宋"/>
                <w:color w:val="auto"/>
                <w:sz w:val="24"/>
                <w:szCs w:val="24"/>
              </w:rPr>
            </w:pPr>
            <w:r>
              <w:rPr>
                <w:rFonts w:eastAsia="仿宋"/>
                <w:color w:val="auto"/>
                <w:sz w:val="24"/>
                <w:szCs w:val="24"/>
              </w:rPr>
              <w:t>内容</w:t>
            </w:r>
          </w:p>
        </w:tc>
        <w:tc>
          <w:tcPr>
            <w:tcW w:w="6946" w:type="dxa"/>
            <w:noWrap w:val="0"/>
            <w:vAlign w:val="center"/>
          </w:tcPr>
          <w:p w14:paraId="604BDFF0">
            <w:pPr>
              <w:adjustRightInd w:val="0"/>
              <w:snapToGrid w:val="0"/>
              <w:spacing w:before="120" w:beforeLines="50" w:line="360" w:lineRule="auto"/>
              <w:rPr>
                <w:rFonts w:eastAsia="仿宋"/>
                <w:color w:val="auto"/>
                <w:sz w:val="24"/>
                <w:szCs w:val="24"/>
              </w:rPr>
            </w:pPr>
            <w:r>
              <w:rPr>
                <w:rFonts w:eastAsia="仿宋"/>
                <w:color w:val="auto"/>
                <w:sz w:val="24"/>
                <w:szCs w:val="24"/>
              </w:rPr>
              <w:t>事件发生时间、地点、事件类型、影响范围；人员遇险情况；事件原因的初步判断；已采取的应急抢救方案、措施和进展情况。</w:t>
            </w:r>
          </w:p>
        </w:tc>
        <w:tc>
          <w:tcPr>
            <w:tcW w:w="709" w:type="dxa"/>
            <w:vMerge w:val="continue"/>
            <w:noWrap w:val="0"/>
            <w:vAlign w:val="center"/>
          </w:tcPr>
          <w:p w14:paraId="7F39CF2F">
            <w:pPr>
              <w:adjustRightInd w:val="0"/>
              <w:snapToGrid w:val="0"/>
              <w:jc w:val="center"/>
              <w:rPr>
                <w:rFonts w:eastAsia="仿宋"/>
                <w:color w:val="auto"/>
                <w:sz w:val="24"/>
                <w:szCs w:val="24"/>
              </w:rPr>
            </w:pPr>
          </w:p>
        </w:tc>
      </w:tr>
      <w:tr w14:paraId="70236D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763C3CA7">
            <w:pPr>
              <w:adjustRightInd w:val="0"/>
              <w:snapToGrid w:val="0"/>
              <w:jc w:val="center"/>
              <w:rPr>
                <w:rFonts w:eastAsia="仿宋"/>
                <w:color w:val="auto"/>
                <w:sz w:val="24"/>
                <w:szCs w:val="24"/>
              </w:rPr>
            </w:pPr>
            <w:r>
              <w:rPr>
                <w:rFonts w:eastAsia="仿宋"/>
                <w:color w:val="auto"/>
                <w:sz w:val="24"/>
                <w:szCs w:val="24"/>
              </w:rPr>
              <w:t>预案</w:t>
            </w:r>
          </w:p>
          <w:p w14:paraId="60733BCE">
            <w:pPr>
              <w:adjustRightInd w:val="0"/>
              <w:snapToGrid w:val="0"/>
              <w:jc w:val="center"/>
              <w:rPr>
                <w:rFonts w:eastAsia="仿宋"/>
                <w:color w:val="auto"/>
                <w:sz w:val="24"/>
                <w:szCs w:val="24"/>
              </w:rPr>
            </w:pPr>
            <w:r>
              <w:rPr>
                <w:rFonts w:eastAsia="仿宋"/>
                <w:color w:val="auto"/>
                <w:sz w:val="24"/>
                <w:szCs w:val="24"/>
              </w:rPr>
              <w:t>启动</w:t>
            </w:r>
          </w:p>
        </w:tc>
        <w:tc>
          <w:tcPr>
            <w:tcW w:w="6946" w:type="dxa"/>
            <w:noWrap w:val="0"/>
            <w:vAlign w:val="center"/>
          </w:tcPr>
          <w:p w14:paraId="33075387">
            <w:pPr>
              <w:adjustRightInd w:val="0"/>
              <w:snapToGrid w:val="0"/>
              <w:spacing w:before="120" w:beforeLines="50" w:line="360" w:lineRule="auto"/>
              <w:rPr>
                <w:rFonts w:eastAsia="仿宋"/>
                <w:color w:val="auto"/>
                <w:sz w:val="24"/>
                <w:szCs w:val="24"/>
              </w:rPr>
            </w:pPr>
            <w:r>
              <w:rPr>
                <w:rFonts w:eastAsia="仿宋"/>
                <w:color w:val="auto"/>
                <w:sz w:val="24"/>
                <w:szCs w:val="24"/>
              </w:rPr>
              <w:t>依据突发环境事故风险等级启动相应级别的应急预案，上级应急预案启动时，下级应急预案同时启动。</w:t>
            </w:r>
          </w:p>
        </w:tc>
        <w:tc>
          <w:tcPr>
            <w:tcW w:w="709" w:type="dxa"/>
            <w:vMerge w:val="continue"/>
            <w:noWrap w:val="0"/>
            <w:vAlign w:val="center"/>
          </w:tcPr>
          <w:p w14:paraId="36AC5DA9">
            <w:pPr>
              <w:adjustRightInd w:val="0"/>
              <w:snapToGrid w:val="0"/>
              <w:jc w:val="center"/>
              <w:rPr>
                <w:rFonts w:eastAsia="仿宋"/>
                <w:color w:val="auto"/>
                <w:sz w:val="24"/>
                <w:szCs w:val="24"/>
              </w:rPr>
            </w:pPr>
          </w:p>
        </w:tc>
      </w:tr>
      <w:tr w14:paraId="16BFE1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8F916B0">
            <w:pPr>
              <w:adjustRightInd w:val="0"/>
              <w:snapToGrid w:val="0"/>
              <w:jc w:val="center"/>
              <w:rPr>
                <w:rFonts w:eastAsia="仿宋"/>
                <w:color w:val="auto"/>
                <w:sz w:val="24"/>
                <w:szCs w:val="24"/>
              </w:rPr>
            </w:pPr>
            <w:r>
              <w:rPr>
                <w:rFonts w:eastAsia="仿宋"/>
                <w:color w:val="auto"/>
                <w:sz w:val="24"/>
                <w:szCs w:val="24"/>
              </w:rPr>
              <w:t>排查</w:t>
            </w:r>
          </w:p>
        </w:tc>
        <w:tc>
          <w:tcPr>
            <w:tcW w:w="6946" w:type="dxa"/>
            <w:noWrap w:val="0"/>
            <w:vAlign w:val="center"/>
          </w:tcPr>
          <w:p w14:paraId="430E93EF">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（1）对于已明确事故企业的事故情形，由企业及各相关部门负责人尽快确定CO泄漏源、泄漏原因、泄漏量和预期发展趋势；</w:t>
            </w:r>
          </w:p>
          <w:p w14:paraId="30E3533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对于接到群众举报，CO泄漏企业未知事故情形，和属地乡镇/街道人民政府应迅速对所辖范围内可能涉及CO泄漏、排放的企业逐一联系、调查，电话联系不上的要迅速派人前往；同时，根据风向迅速组织力量，搜寻污染源。</w:t>
            </w:r>
          </w:p>
        </w:tc>
        <w:tc>
          <w:tcPr>
            <w:tcW w:w="709" w:type="dxa"/>
            <w:vMerge w:val="continue"/>
            <w:noWrap w:val="0"/>
            <w:vAlign w:val="center"/>
          </w:tcPr>
          <w:p w14:paraId="3776E388">
            <w:pPr>
              <w:adjustRightInd w:val="0"/>
              <w:snapToGrid w:val="0"/>
              <w:jc w:val="center"/>
              <w:rPr>
                <w:rFonts w:eastAsia="仿宋"/>
                <w:color w:val="auto"/>
                <w:sz w:val="24"/>
                <w:szCs w:val="24"/>
              </w:rPr>
            </w:pPr>
          </w:p>
        </w:tc>
      </w:tr>
      <w:tr w14:paraId="6F7D50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47A8FF9B">
            <w:pPr>
              <w:adjustRightInd w:val="0"/>
              <w:snapToGrid w:val="0"/>
              <w:jc w:val="center"/>
              <w:rPr>
                <w:rFonts w:eastAsia="仿宋"/>
                <w:color w:val="auto"/>
                <w:sz w:val="24"/>
                <w:szCs w:val="24"/>
              </w:rPr>
            </w:pPr>
            <w:r>
              <w:rPr>
                <w:rFonts w:eastAsia="仿宋"/>
                <w:color w:val="auto"/>
                <w:sz w:val="24"/>
                <w:szCs w:val="24"/>
              </w:rPr>
              <w:t>控源截污</w:t>
            </w:r>
          </w:p>
        </w:tc>
        <w:tc>
          <w:tcPr>
            <w:tcW w:w="6946" w:type="dxa"/>
            <w:noWrap w:val="0"/>
            <w:vAlign w:val="center"/>
          </w:tcPr>
          <w:p w14:paraId="11024921">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（1）封堵泄漏点位，隔离泄漏区域，切断污染源向外环境扩散；</w:t>
            </w:r>
          </w:p>
          <w:p w14:paraId="77E260E2">
            <w:pPr>
              <w:adjustRightInd w:val="0"/>
              <w:snapToGrid w:val="0"/>
              <w:spacing w:line="360" w:lineRule="auto"/>
              <w:rPr>
                <w:rFonts w:eastAsia="仿宋"/>
                <w:color w:val="auto"/>
                <w:sz w:val="24"/>
                <w:szCs w:val="24"/>
              </w:rPr>
            </w:pPr>
            <w:r>
              <w:rPr>
                <w:rFonts w:eastAsia="仿宋"/>
                <w:color w:val="auto"/>
                <w:sz w:val="24"/>
                <w:szCs w:val="24"/>
              </w:rPr>
              <w:t>（2）依据大气风向特点，组织人员疏散与撤离。</w:t>
            </w:r>
          </w:p>
        </w:tc>
        <w:tc>
          <w:tcPr>
            <w:tcW w:w="709" w:type="dxa"/>
            <w:vMerge w:val="continue"/>
            <w:noWrap w:val="0"/>
            <w:vAlign w:val="center"/>
          </w:tcPr>
          <w:p w14:paraId="57879D94">
            <w:pPr>
              <w:adjustRightInd w:val="0"/>
              <w:snapToGrid w:val="0"/>
              <w:jc w:val="center"/>
              <w:rPr>
                <w:rFonts w:eastAsia="仿宋"/>
                <w:color w:val="auto"/>
                <w:sz w:val="24"/>
                <w:szCs w:val="24"/>
              </w:rPr>
            </w:pPr>
          </w:p>
        </w:tc>
      </w:tr>
      <w:tr w14:paraId="2A90F2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1B42CD07">
            <w:pPr>
              <w:adjustRightInd w:val="0"/>
              <w:snapToGrid w:val="0"/>
              <w:jc w:val="center"/>
              <w:rPr>
                <w:rFonts w:eastAsia="仿宋"/>
                <w:color w:val="auto"/>
                <w:sz w:val="24"/>
                <w:szCs w:val="24"/>
              </w:rPr>
            </w:pPr>
            <w:r>
              <w:rPr>
                <w:rFonts w:eastAsia="仿宋"/>
                <w:color w:val="auto"/>
                <w:sz w:val="24"/>
                <w:szCs w:val="24"/>
              </w:rPr>
              <w:t>检测</w:t>
            </w:r>
          </w:p>
        </w:tc>
        <w:tc>
          <w:tcPr>
            <w:tcW w:w="6946" w:type="dxa"/>
            <w:noWrap w:val="0"/>
            <w:vAlign w:val="center"/>
          </w:tcPr>
          <w:p w14:paraId="4CBE60A3">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（1）由专业技术人员进行CO浓度现场检测；</w:t>
            </w:r>
          </w:p>
          <w:p w14:paraId="0A5BEC7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以CO泄漏地点为中心，在下风向按一定间隔的扇形或圆形布点，并根据污染物的特性在不同高度采样，同时在事故点的上风向适当位置布设对照点；在可能受污染影响的居民住宅区或人群活动区等敏感点必须设置采样点，采样过程中应注意风向变化，及时调整采样点位置。</w:t>
            </w:r>
          </w:p>
          <w:p w14:paraId="23B3003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在事故发生地，初始加密（6次/天）监测，随着污染物浓度的下降逐渐降低频次；在事故发生地周围居民区等敏感区域，初始加密（6次/天）监测，随着污染物浓度的下降逐渐降低频次；在事故发生地下风向，4次/天或与事故发生地同频次（应急期间）；在事故发生地上风向对照点，4次/天（应急期间）。根据应急需要，可适当增加或降低监测频次。</w:t>
            </w:r>
          </w:p>
        </w:tc>
        <w:tc>
          <w:tcPr>
            <w:tcW w:w="709" w:type="dxa"/>
            <w:vMerge w:val="continue"/>
            <w:noWrap w:val="0"/>
            <w:vAlign w:val="center"/>
          </w:tcPr>
          <w:p w14:paraId="2BC2244E">
            <w:pPr>
              <w:adjustRightInd w:val="0"/>
              <w:snapToGrid w:val="0"/>
              <w:jc w:val="center"/>
              <w:rPr>
                <w:rFonts w:eastAsia="仿宋"/>
                <w:color w:val="auto"/>
                <w:sz w:val="24"/>
                <w:szCs w:val="24"/>
              </w:rPr>
            </w:pPr>
          </w:p>
        </w:tc>
      </w:tr>
      <w:tr w14:paraId="293A3C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43F67FB7">
            <w:pPr>
              <w:adjustRightInd w:val="0"/>
              <w:snapToGrid w:val="0"/>
              <w:jc w:val="center"/>
              <w:rPr>
                <w:rFonts w:eastAsia="仿宋"/>
                <w:color w:val="auto"/>
                <w:sz w:val="24"/>
                <w:szCs w:val="24"/>
              </w:rPr>
            </w:pPr>
            <w:r>
              <w:rPr>
                <w:rFonts w:eastAsia="仿宋"/>
                <w:color w:val="auto"/>
                <w:sz w:val="24"/>
                <w:szCs w:val="24"/>
              </w:rPr>
              <w:t>后勤保障</w:t>
            </w:r>
          </w:p>
        </w:tc>
        <w:tc>
          <w:tcPr>
            <w:tcW w:w="6946" w:type="dxa"/>
            <w:noWrap w:val="0"/>
            <w:vAlign w:val="center"/>
          </w:tcPr>
          <w:p w14:paraId="5019D028">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（1）应急车辆的安排和调配；</w:t>
            </w:r>
          </w:p>
          <w:p w14:paraId="07AF7267">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（2）应急救援物资及临时人员安置物资调拨和紧急配送；</w:t>
            </w:r>
          </w:p>
          <w:p w14:paraId="36427F73">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（3）交通调度；</w:t>
            </w:r>
          </w:p>
          <w:p w14:paraId="4883B781">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（4）电力、通讯、燃气和饮水保障；</w:t>
            </w:r>
          </w:p>
          <w:p w14:paraId="072AC5D7">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（5）提供应急救援资金。</w:t>
            </w:r>
          </w:p>
        </w:tc>
        <w:tc>
          <w:tcPr>
            <w:tcW w:w="709" w:type="dxa"/>
            <w:vMerge w:val="continue"/>
            <w:noWrap w:val="0"/>
            <w:vAlign w:val="center"/>
          </w:tcPr>
          <w:p w14:paraId="2715D79E">
            <w:pPr>
              <w:adjustRightInd w:val="0"/>
              <w:snapToGrid w:val="0"/>
              <w:jc w:val="center"/>
              <w:rPr>
                <w:rFonts w:eastAsia="仿宋"/>
                <w:color w:val="auto"/>
                <w:sz w:val="24"/>
                <w:szCs w:val="24"/>
              </w:rPr>
            </w:pPr>
          </w:p>
        </w:tc>
      </w:tr>
      <w:tr w14:paraId="77A467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54745158">
            <w:pPr>
              <w:adjustRightInd w:val="0"/>
              <w:snapToGrid w:val="0"/>
              <w:jc w:val="center"/>
              <w:rPr>
                <w:rFonts w:eastAsia="仿宋"/>
                <w:color w:val="auto"/>
                <w:sz w:val="24"/>
                <w:szCs w:val="24"/>
              </w:rPr>
            </w:pPr>
            <w:r>
              <w:rPr>
                <w:rFonts w:eastAsia="仿宋"/>
                <w:color w:val="auto"/>
                <w:sz w:val="24"/>
                <w:szCs w:val="24"/>
              </w:rPr>
              <w:t>恢复处置</w:t>
            </w:r>
          </w:p>
        </w:tc>
        <w:tc>
          <w:tcPr>
            <w:tcW w:w="6946" w:type="dxa"/>
            <w:noWrap w:val="0"/>
            <w:vAlign w:val="center"/>
          </w:tcPr>
          <w:p w14:paraId="054D3072">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（1）群众回迁；</w:t>
            </w:r>
          </w:p>
          <w:p w14:paraId="6D45E85A">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（2）工艺设施维修、鉴定和恢复生产；</w:t>
            </w:r>
          </w:p>
          <w:p w14:paraId="1A3B712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（3）责任赔偿。</w:t>
            </w:r>
          </w:p>
        </w:tc>
        <w:tc>
          <w:tcPr>
            <w:tcW w:w="709" w:type="dxa"/>
            <w:vMerge w:val="continue"/>
            <w:noWrap w:val="0"/>
            <w:vAlign w:val="center"/>
          </w:tcPr>
          <w:p w14:paraId="79CACA92">
            <w:pPr>
              <w:adjustRightInd w:val="0"/>
              <w:snapToGrid w:val="0"/>
              <w:jc w:val="center"/>
              <w:rPr>
                <w:rFonts w:eastAsia="仿宋"/>
                <w:color w:val="auto"/>
                <w:sz w:val="24"/>
                <w:szCs w:val="24"/>
              </w:rPr>
            </w:pPr>
          </w:p>
        </w:tc>
      </w:tr>
      <w:tr w14:paraId="6B3A6A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1349C65B">
            <w:pPr>
              <w:adjustRightInd w:val="0"/>
              <w:snapToGrid w:val="0"/>
              <w:jc w:val="center"/>
              <w:rPr>
                <w:rFonts w:eastAsia="仿宋"/>
                <w:color w:val="auto"/>
                <w:sz w:val="24"/>
                <w:szCs w:val="24"/>
              </w:rPr>
            </w:pPr>
            <w:r>
              <w:rPr>
                <w:rFonts w:eastAsia="仿宋"/>
                <w:color w:val="auto"/>
                <w:sz w:val="24"/>
                <w:szCs w:val="24"/>
              </w:rPr>
              <w:t>注意事项</w:t>
            </w:r>
          </w:p>
        </w:tc>
        <w:tc>
          <w:tcPr>
            <w:tcW w:w="6946" w:type="dxa"/>
            <w:noWrap w:val="0"/>
            <w:vAlign w:val="center"/>
          </w:tcPr>
          <w:p w14:paraId="2C6BA820">
            <w:pPr>
              <w:adjustRightInd w:val="0"/>
              <w:snapToGrid w:val="0"/>
              <w:spacing w:before="120" w:beforeLines="50" w:line="360" w:lineRule="auto"/>
              <w:rPr>
                <w:rFonts w:eastAsia="仿宋"/>
                <w:color w:val="auto"/>
                <w:sz w:val="24"/>
                <w:szCs w:val="24"/>
              </w:rPr>
            </w:pPr>
            <w:r>
              <w:rPr>
                <w:rFonts w:eastAsia="仿宋"/>
                <w:color w:val="auto"/>
                <w:sz w:val="24"/>
                <w:szCs w:val="24"/>
              </w:rPr>
              <w:t>参与应急救援的相关人员需配备防爆型防具，佩戴化学安全防护眼镜、佩戴过滤式防毒面具或正压式空气呼吸器。</w:t>
            </w:r>
          </w:p>
        </w:tc>
        <w:tc>
          <w:tcPr>
            <w:tcW w:w="709" w:type="dxa"/>
            <w:noWrap w:val="0"/>
            <w:vAlign w:val="center"/>
          </w:tcPr>
          <w:p w14:paraId="73EAFA4A">
            <w:pPr>
              <w:adjustRightInd w:val="0"/>
              <w:snapToGrid w:val="0"/>
              <w:jc w:val="center"/>
              <w:rPr>
                <w:rFonts w:eastAsia="仿宋"/>
                <w:color w:val="auto"/>
                <w:sz w:val="24"/>
                <w:szCs w:val="24"/>
              </w:rPr>
            </w:pPr>
          </w:p>
        </w:tc>
      </w:tr>
    </w:tbl>
    <w:p w14:paraId="60065FA2">
      <w:pPr>
        <w:jc w:val="center"/>
        <w:rPr>
          <w:color w:val="auto"/>
        </w:rPr>
      </w:pPr>
    </w:p>
    <w:p w14:paraId="212E3476">
      <w:pPr>
        <w:adjustRightInd w:val="0"/>
        <w:snapToGrid w:val="0"/>
        <w:spacing w:before="120" w:after="120" w:line="360" w:lineRule="auto"/>
        <w:jc w:val="center"/>
        <w:rPr>
          <w:rFonts w:ascii="仿宋" w:hAnsi="仿宋" w:eastAsia="仿宋"/>
          <w:color w:val="auto"/>
          <w:sz w:val="24"/>
          <w:szCs w:val="24"/>
        </w:rPr>
      </w:pPr>
      <w:r>
        <w:rPr>
          <w:color w:val="auto"/>
        </w:rPr>
        <w:br w:type="page"/>
      </w:r>
      <w:r>
        <w:rPr>
          <w:rFonts w:hint="eastAsia" w:ascii="仿宋" w:hAnsi="仿宋" w:eastAsia="仿宋"/>
          <w:color w:val="auto"/>
          <w:sz w:val="24"/>
          <w:szCs w:val="24"/>
        </w:rPr>
        <w:t>液化石油气泄漏事故现场应急处置卡</w:t>
      </w:r>
    </w:p>
    <w:tbl>
      <w:tblPr>
        <w:tblStyle w:val="21"/>
        <w:tblW w:w="8359"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6946"/>
        <w:gridCol w:w="709"/>
      </w:tblGrid>
      <w:tr w14:paraId="0675B9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4" w:type="dxa"/>
            <w:noWrap w:val="0"/>
            <w:vAlign w:val="center"/>
          </w:tcPr>
          <w:p w14:paraId="4CAEA4BE">
            <w:pPr>
              <w:adjustRightInd w:val="0"/>
              <w:snapToGrid w:val="0"/>
              <w:jc w:val="center"/>
              <w:rPr>
                <w:rFonts w:eastAsia="仿宋"/>
                <w:color w:val="auto"/>
                <w:sz w:val="24"/>
                <w:szCs w:val="24"/>
              </w:rPr>
            </w:pPr>
            <w:r>
              <w:rPr>
                <w:rFonts w:eastAsia="仿宋"/>
                <w:color w:val="auto"/>
                <w:sz w:val="24"/>
                <w:szCs w:val="24"/>
              </w:rPr>
              <w:t>类别</w:t>
            </w:r>
          </w:p>
        </w:tc>
        <w:tc>
          <w:tcPr>
            <w:tcW w:w="7655" w:type="dxa"/>
            <w:gridSpan w:val="2"/>
            <w:noWrap w:val="0"/>
            <w:vAlign w:val="center"/>
          </w:tcPr>
          <w:p w14:paraId="3B95BE32">
            <w:pPr>
              <w:adjustRightInd w:val="0"/>
              <w:snapToGrid w:val="0"/>
              <w:jc w:val="center"/>
              <w:rPr>
                <w:rFonts w:eastAsia="仿宋"/>
                <w:color w:val="auto"/>
                <w:sz w:val="24"/>
                <w:szCs w:val="24"/>
              </w:rPr>
            </w:pPr>
            <w:r>
              <w:rPr>
                <w:rFonts w:eastAsia="仿宋"/>
                <w:color w:val="auto"/>
                <w:sz w:val="24"/>
                <w:szCs w:val="24"/>
              </w:rPr>
              <w:t>内容</w:t>
            </w:r>
          </w:p>
        </w:tc>
      </w:tr>
      <w:tr w14:paraId="710987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359" w:type="dxa"/>
            <w:gridSpan w:val="3"/>
            <w:noWrap w:val="0"/>
            <w:vAlign w:val="center"/>
          </w:tcPr>
          <w:p w14:paraId="41FBE562">
            <w:pPr>
              <w:adjustRightInd w:val="0"/>
              <w:snapToGrid w:val="0"/>
              <w:spacing w:before="120" w:beforeLines="50" w:line="360" w:lineRule="auto"/>
              <w:rPr>
                <w:rFonts w:eastAsia="仿宋"/>
                <w:color w:val="auto"/>
                <w:sz w:val="24"/>
                <w:szCs w:val="24"/>
              </w:rPr>
            </w:pPr>
            <w:r>
              <w:rPr>
                <w:rFonts w:eastAsia="仿宋"/>
                <w:color w:val="auto"/>
                <w:sz w:val="24"/>
                <w:szCs w:val="24"/>
              </w:rPr>
              <w:t>风险描述：</w:t>
            </w:r>
            <w:r>
              <w:rPr>
                <w:rFonts w:hint="eastAsia" w:eastAsia="仿宋"/>
                <w:color w:val="auto"/>
                <w:sz w:val="24"/>
                <w:szCs w:val="24"/>
              </w:rPr>
              <w:t>生产、运输、储存过程中，盛装液化石油气的钢瓶，储罐及管道、阀门法兰等因老化、受热等原因，造成液化石油气泄漏，可导致火灾、爆炸或作业人员中毒和窒息。</w:t>
            </w:r>
          </w:p>
        </w:tc>
      </w:tr>
      <w:tr w14:paraId="6A45AB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09D043AF">
            <w:pPr>
              <w:adjustRightInd w:val="0"/>
              <w:snapToGrid w:val="0"/>
              <w:jc w:val="center"/>
              <w:rPr>
                <w:rFonts w:eastAsia="仿宋"/>
                <w:color w:val="auto"/>
                <w:sz w:val="24"/>
                <w:szCs w:val="24"/>
              </w:rPr>
            </w:pPr>
            <w:r>
              <w:rPr>
                <w:rFonts w:eastAsia="仿宋"/>
                <w:color w:val="auto"/>
                <w:sz w:val="24"/>
                <w:szCs w:val="24"/>
              </w:rPr>
              <w:t>应急</w:t>
            </w:r>
          </w:p>
          <w:p w14:paraId="28AC0279">
            <w:pPr>
              <w:adjustRightInd w:val="0"/>
              <w:snapToGrid w:val="0"/>
              <w:jc w:val="center"/>
              <w:rPr>
                <w:rFonts w:eastAsia="仿宋"/>
                <w:color w:val="auto"/>
                <w:sz w:val="24"/>
                <w:szCs w:val="24"/>
              </w:rPr>
            </w:pPr>
            <w:r>
              <w:rPr>
                <w:rFonts w:eastAsia="仿宋"/>
                <w:color w:val="auto"/>
                <w:sz w:val="24"/>
                <w:szCs w:val="24"/>
              </w:rPr>
              <w:t>程序</w:t>
            </w:r>
          </w:p>
        </w:tc>
        <w:tc>
          <w:tcPr>
            <w:tcW w:w="6946" w:type="dxa"/>
            <w:noWrap w:val="0"/>
            <w:vAlign w:val="center"/>
          </w:tcPr>
          <w:p w14:paraId="6C08A3B1">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（1）接警、确定事件级别，并上报上级部门；</w:t>
            </w:r>
          </w:p>
          <w:p w14:paraId="5B36CDB3">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（2）由相应级别的突发环境事件应急指挥部启动应急预案，赴现场指挥应急救援工作；</w:t>
            </w:r>
          </w:p>
          <w:p w14:paraId="384ED31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（3）若事件的影响超出企业范围或可能超出企业范围，由乡镇、街道/责任人负责组织专业人员进行先期处置，控制事态发展；在上级指挥人员到场后，乡镇、街道/责任人负责各项应急处置措施、方案的落实；</w:t>
            </w:r>
          </w:p>
          <w:p w14:paraId="4A490D4F">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（4）确定泄漏时间或预计持续时间，估算泄漏量，对污染物扩散趋势进行预测。同时，制订监测方案，开展应急监测，尽快确定污染范围和程度；</w:t>
            </w:r>
          </w:p>
          <w:p w14:paraId="0F7F9AA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（5）确定事发地周边环境风险受体的分布，及时对可能受到影响的群众进行疏散；</w:t>
            </w:r>
          </w:p>
          <w:p w14:paraId="3791C0EE">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（6）应急保障组负责应急救援物资的协调、补充和供应，应急疏散群众的基本生活保障；</w:t>
            </w:r>
          </w:p>
          <w:p w14:paraId="27CD164A">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（7）制定工艺、设备和事故现场的恢复措施。</w:t>
            </w:r>
          </w:p>
        </w:tc>
        <w:tc>
          <w:tcPr>
            <w:tcW w:w="709" w:type="dxa"/>
            <w:noWrap w:val="0"/>
            <w:vAlign w:val="center"/>
          </w:tcPr>
          <w:p w14:paraId="5436E7B3">
            <w:pPr>
              <w:adjustRightInd w:val="0"/>
              <w:snapToGrid w:val="0"/>
              <w:jc w:val="center"/>
              <w:rPr>
                <w:rFonts w:eastAsia="仿宋"/>
                <w:color w:val="auto"/>
                <w:sz w:val="24"/>
                <w:szCs w:val="24"/>
              </w:rPr>
            </w:pPr>
            <w:r>
              <w:rPr>
                <w:rFonts w:eastAsia="仿宋"/>
                <w:color w:val="auto"/>
                <w:sz w:val="24"/>
                <w:szCs w:val="24"/>
              </w:rPr>
              <w:t>责任</w:t>
            </w:r>
          </w:p>
          <w:p w14:paraId="0FD59BB5">
            <w:pPr>
              <w:adjustRightInd w:val="0"/>
              <w:snapToGrid w:val="0"/>
              <w:jc w:val="center"/>
              <w:rPr>
                <w:rFonts w:eastAsia="仿宋"/>
                <w:color w:val="auto"/>
                <w:sz w:val="24"/>
                <w:szCs w:val="24"/>
              </w:rPr>
            </w:pPr>
            <w:r>
              <w:rPr>
                <w:rFonts w:eastAsia="仿宋"/>
                <w:color w:val="auto"/>
                <w:sz w:val="24"/>
                <w:szCs w:val="24"/>
              </w:rPr>
              <w:t>岗位</w:t>
            </w:r>
          </w:p>
        </w:tc>
      </w:tr>
      <w:tr w14:paraId="7E328E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94A7F9B">
            <w:pPr>
              <w:adjustRightInd w:val="0"/>
              <w:snapToGrid w:val="0"/>
              <w:jc w:val="center"/>
              <w:rPr>
                <w:rFonts w:eastAsia="仿宋"/>
                <w:color w:val="auto"/>
                <w:sz w:val="24"/>
                <w:szCs w:val="24"/>
              </w:rPr>
            </w:pPr>
            <w:r>
              <w:rPr>
                <w:rFonts w:eastAsia="仿宋"/>
                <w:color w:val="auto"/>
                <w:sz w:val="24"/>
                <w:szCs w:val="24"/>
              </w:rPr>
              <w:t>报告</w:t>
            </w:r>
          </w:p>
          <w:p w14:paraId="7D246B5C">
            <w:pPr>
              <w:adjustRightInd w:val="0"/>
              <w:snapToGrid w:val="0"/>
              <w:jc w:val="center"/>
              <w:rPr>
                <w:rFonts w:eastAsia="仿宋"/>
                <w:color w:val="auto"/>
                <w:sz w:val="24"/>
                <w:szCs w:val="24"/>
              </w:rPr>
            </w:pPr>
            <w:r>
              <w:rPr>
                <w:rFonts w:eastAsia="仿宋"/>
                <w:color w:val="auto"/>
                <w:sz w:val="24"/>
                <w:szCs w:val="24"/>
              </w:rPr>
              <w:t>程序</w:t>
            </w:r>
          </w:p>
        </w:tc>
        <w:tc>
          <w:tcPr>
            <w:tcW w:w="6946" w:type="dxa"/>
            <w:noWrap w:val="0"/>
            <w:vAlign w:val="center"/>
          </w:tcPr>
          <w:p w14:paraId="1DC4452C">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（1）泄漏事故发生后，最早发现者和事故部门应立即报告部门负责人和企业应急救援办公室；</w:t>
            </w:r>
          </w:p>
          <w:p w14:paraId="430CF3C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（2）企业应急救援办公室接到报告并核实后，报告企业应急救援指挥部、应急救援指挥部、乡镇/街道人民政府或乡镇/街道应急指挥部；</w:t>
            </w:r>
          </w:p>
          <w:p w14:paraId="606B3AC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（3）企业、、乡镇/街道应急指挥部办公室对事件的性质和级别做出初步认定，总指挥根据事件的级别确定是否上报；</w:t>
            </w:r>
          </w:p>
          <w:p w14:paraId="123242D3">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（4）对初步认定为一般或较大的突发环境事件，应在接报4后小时内上报</w:t>
            </w:r>
            <w:r>
              <w:rPr>
                <w:rFonts w:hint="eastAsia" w:eastAsia="仿宋"/>
                <w:color w:val="auto"/>
                <w:sz w:val="24"/>
                <w:szCs w:val="24"/>
              </w:rPr>
              <w:t>额尔古纳市</w:t>
            </w:r>
            <w:r>
              <w:rPr>
                <w:rFonts w:eastAsia="仿宋"/>
                <w:color w:val="auto"/>
                <w:sz w:val="24"/>
                <w:szCs w:val="24"/>
              </w:rPr>
              <w:t>突发环境事件应急办公室；</w:t>
            </w:r>
            <w:r>
              <w:rPr>
                <w:rFonts w:hint="eastAsia" w:eastAsia="仿宋"/>
                <w:color w:val="auto"/>
                <w:sz w:val="24"/>
                <w:szCs w:val="24"/>
              </w:rPr>
              <w:t>若出现火灾、爆炸事故还应拨打119，视情况拨打120，联系专业消防救援队伍；</w:t>
            </w:r>
          </w:p>
          <w:p w14:paraId="0B694E29">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w:t>
            </w:r>
            <w:r>
              <w:rPr>
                <w:rFonts w:hint="eastAsia" w:eastAsia="仿宋"/>
                <w:color w:val="auto"/>
                <w:sz w:val="24"/>
                <w:szCs w:val="24"/>
              </w:rPr>
              <w:t>额尔古纳市</w:t>
            </w:r>
            <w:r>
              <w:rPr>
                <w:rFonts w:eastAsia="仿宋"/>
                <w:color w:val="auto"/>
                <w:sz w:val="24"/>
                <w:szCs w:val="24"/>
              </w:rPr>
              <w:t>突发环境事件应急办公室接报，经事故核实和级别确认后，对初步认定为重大或特别重大的事故，应当在2小时内向呼伦贝尔市突发环境事件应急指挥部办公室汇报；呼伦贝尔市突发环境事件应急指挥部办公室接报，核实信息后在1小时内报告</w:t>
            </w:r>
            <w:bookmarkStart w:id="496" w:name="_GoBack"/>
            <w:bookmarkEnd w:id="496"/>
            <w:r>
              <w:rPr>
                <w:rFonts w:eastAsia="仿宋"/>
                <w:color w:val="auto"/>
                <w:sz w:val="24"/>
                <w:szCs w:val="24"/>
              </w:rPr>
              <w:t>生态环境部；</w:t>
            </w:r>
          </w:p>
          <w:p w14:paraId="23F9C739">
            <w:pPr>
              <w:adjustRightInd w:val="0"/>
              <w:snapToGrid w:val="0"/>
              <w:spacing w:line="360" w:lineRule="auto"/>
              <w:ind w:left="600" w:hanging="600" w:hangingChars="250"/>
              <w:rPr>
                <w:rFonts w:eastAsia="仿宋"/>
                <w:color w:val="auto"/>
                <w:sz w:val="24"/>
                <w:szCs w:val="24"/>
              </w:rPr>
            </w:pPr>
            <w:r>
              <w:rPr>
                <w:rFonts w:eastAsia="仿宋"/>
                <w:color w:val="auto"/>
                <w:sz w:val="24"/>
                <w:szCs w:val="24"/>
              </w:rPr>
              <w:t>（6）应急救援人员到达现场后，对泄漏现场的污染程度进行监测分析，将监测情况报告应急指挥部；</w:t>
            </w:r>
          </w:p>
          <w:p w14:paraId="1012891F">
            <w:pPr>
              <w:adjustRightInd w:val="0"/>
              <w:snapToGrid w:val="0"/>
              <w:spacing w:line="360" w:lineRule="auto"/>
              <w:ind w:left="600" w:hanging="600" w:hangingChars="250"/>
              <w:rPr>
                <w:rFonts w:eastAsia="仿宋"/>
                <w:color w:val="auto"/>
                <w:sz w:val="24"/>
                <w:szCs w:val="24"/>
              </w:rPr>
            </w:pPr>
            <w:r>
              <w:rPr>
                <w:rFonts w:eastAsia="仿宋"/>
                <w:color w:val="auto"/>
                <w:sz w:val="24"/>
                <w:szCs w:val="24"/>
              </w:rPr>
              <w:t>（7）事故得到控制后，由相应级别的应急指挥部办公室负责写事故分析报告并报应急指挥部；</w:t>
            </w:r>
          </w:p>
          <w:p w14:paraId="5E8E9A7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（8）突发环境事件处置过程中事件级别发生变化的，应当按照变化后的级别报告信息。</w:t>
            </w:r>
          </w:p>
          <w:p w14:paraId="1169C006">
            <w:pPr>
              <w:adjustRightInd w:val="0"/>
              <w:snapToGrid w:val="0"/>
              <w:spacing w:line="360" w:lineRule="auto"/>
              <w:ind w:left="600" w:hanging="600" w:hangingChars="250"/>
              <w:rPr>
                <w:rFonts w:eastAsia="仿宋"/>
                <w:color w:val="auto"/>
                <w:sz w:val="24"/>
                <w:szCs w:val="24"/>
              </w:rPr>
            </w:pPr>
            <w:r>
              <w:rPr>
                <w:rFonts w:eastAsia="仿宋"/>
                <w:color w:val="auto"/>
                <w:sz w:val="24"/>
                <w:szCs w:val="24"/>
              </w:rPr>
              <w:t>（9）事故涉及居民聚居区、学校、医院等敏感区域和敏感人群、可能产生跨区域影响或因大气污染可能引发群体性事件或社会影响较大时，应按照重大或特别重大的报告程序上报。</w:t>
            </w:r>
          </w:p>
        </w:tc>
        <w:tc>
          <w:tcPr>
            <w:tcW w:w="709" w:type="dxa"/>
            <w:vMerge w:val="restart"/>
            <w:noWrap w:val="0"/>
            <w:vAlign w:val="center"/>
          </w:tcPr>
          <w:p w14:paraId="0ECC7D3B">
            <w:pPr>
              <w:adjustRightInd w:val="0"/>
              <w:snapToGrid w:val="0"/>
              <w:jc w:val="center"/>
              <w:rPr>
                <w:rFonts w:eastAsia="仿宋"/>
                <w:color w:val="auto"/>
                <w:sz w:val="24"/>
                <w:szCs w:val="24"/>
              </w:rPr>
            </w:pPr>
            <w:r>
              <w:rPr>
                <w:rFonts w:eastAsia="仿宋"/>
                <w:color w:val="auto"/>
                <w:sz w:val="24"/>
                <w:szCs w:val="24"/>
              </w:rPr>
              <w:t>事故所在地行政区域人民政府或管理委员会负责人</w:t>
            </w:r>
          </w:p>
        </w:tc>
      </w:tr>
      <w:tr w14:paraId="4196F9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2AA9BB3F">
            <w:pPr>
              <w:adjustRightInd w:val="0"/>
              <w:snapToGrid w:val="0"/>
              <w:jc w:val="center"/>
              <w:rPr>
                <w:rFonts w:eastAsia="仿宋"/>
                <w:color w:val="auto"/>
                <w:sz w:val="24"/>
                <w:szCs w:val="24"/>
              </w:rPr>
            </w:pPr>
            <w:r>
              <w:rPr>
                <w:rFonts w:eastAsia="仿宋"/>
                <w:color w:val="auto"/>
                <w:sz w:val="24"/>
                <w:szCs w:val="24"/>
              </w:rPr>
              <w:t>上报</w:t>
            </w:r>
          </w:p>
          <w:p w14:paraId="51A8151B">
            <w:pPr>
              <w:adjustRightInd w:val="0"/>
              <w:snapToGrid w:val="0"/>
              <w:jc w:val="center"/>
              <w:rPr>
                <w:rFonts w:eastAsia="仿宋"/>
                <w:color w:val="auto"/>
                <w:sz w:val="24"/>
                <w:szCs w:val="24"/>
              </w:rPr>
            </w:pPr>
            <w:r>
              <w:rPr>
                <w:rFonts w:eastAsia="仿宋"/>
                <w:color w:val="auto"/>
                <w:sz w:val="24"/>
                <w:szCs w:val="24"/>
              </w:rPr>
              <w:t>内容</w:t>
            </w:r>
          </w:p>
        </w:tc>
        <w:tc>
          <w:tcPr>
            <w:tcW w:w="6946" w:type="dxa"/>
            <w:noWrap w:val="0"/>
            <w:vAlign w:val="center"/>
          </w:tcPr>
          <w:p w14:paraId="512B62F9">
            <w:pPr>
              <w:adjustRightInd w:val="0"/>
              <w:snapToGrid w:val="0"/>
              <w:spacing w:before="120" w:beforeLines="50" w:line="360" w:lineRule="auto"/>
              <w:rPr>
                <w:rFonts w:eastAsia="仿宋"/>
                <w:color w:val="auto"/>
                <w:sz w:val="24"/>
                <w:szCs w:val="24"/>
              </w:rPr>
            </w:pPr>
            <w:r>
              <w:rPr>
                <w:rFonts w:eastAsia="仿宋"/>
                <w:color w:val="auto"/>
                <w:sz w:val="24"/>
                <w:szCs w:val="24"/>
              </w:rPr>
              <w:t>事件发生时间、地点、事件类型、影响范围；人员遇险情况；事件原因的初步判断；已采取的应急抢救方案、措施和进展情况。</w:t>
            </w:r>
          </w:p>
        </w:tc>
        <w:tc>
          <w:tcPr>
            <w:tcW w:w="709" w:type="dxa"/>
            <w:vMerge w:val="continue"/>
            <w:noWrap w:val="0"/>
            <w:vAlign w:val="center"/>
          </w:tcPr>
          <w:p w14:paraId="70B79EAC">
            <w:pPr>
              <w:adjustRightInd w:val="0"/>
              <w:snapToGrid w:val="0"/>
              <w:jc w:val="center"/>
              <w:rPr>
                <w:rFonts w:eastAsia="仿宋"/>
                <w:color w:val="auto"/>
                <w:sz w:val="24"/>
                <w:szCs w:val="24"/>
              </w:rPr>
            </w:pPr>
          </w:p>
        </w:tc>
      </w:tr>
      <w:tr w14:paraId="09A23C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C6255D2">
            <w:pPr>
              <w:adjustRightInd w:val="0"/>
              <w:snapToGrid w:val="0"/>
              <w:jc w:val="center"/>
              <w:rPr>
                <w:rFonts w:eastAsia="仿宋"/>
                <w:color w:val="auto"/>
                <w:sz w:val="24"/>
                <w:szCs w:val="24"/>
              </w:rPr>
            </w:pPr>
            <w:r>
              <w:rPr>
                <w:rFonts w:eastAsia="仿宋"/>
                <w:color w:val="auto"/>
                <w:sz w:val="24"/>
                <w:szCs w:val="24"/>
              </w:rPr>
              <w:t>预案</w:t>
            </w:r>
          </w:p>
          <w:p w14:paraId="555F4211">
            <w:pPr>
              <w:adjustRightInd w:val="0"/>
              <w:snapToGrid w:val="0"/>
              <w:jc w:val="center"/>
              <w:rPr>
                <w:rFonts w:eastAsia="仿宋"/>
                <w:color w:val="auto"/>
                <w:sz w:val="24"/>
                <w:szCs w:val="24"/>
              </w:rPr>
            </w:pPr>
            <w:r>
              <w:rPr>
                <w:rFonts w:eastAsia="仿宋"/>
                <w:color w:val="auto"/>
                <w:sz w:val="24"/>
                <w:szCs w:val="24"/>
              </w:rPr>
              <w:t>启动</w:t>
            </w:r>
          </w:p>
        </w:tc>
        <w:tc>
          <w:tcPr>
            <w:tcW w:w="6946" w:type="dxa"/>
            <w:noWrap w:val="0"/>
            <w:vAlign w:val="center"/>
          </w:tcPr>
          <w:p w14:paraId="159E92DA">
            <w:pPr>
              <w:adjustRightInd w:val="0"/>
              <w:snapToGrid w:val="0"/>
              <w:spacing w:before="120" w:beforeLines="50" w:line="360" w:lineRule="auto"/>
              <w:rPr>
                <w:rFonts w:eastAsia="仿宋"/>
                <w:color w:val="auto"/>
                <w:sz w:val="24"/>
                <w:szCs w:val="24"/>
              </w:rPr>
            </w:pPr>
            <w:r>
              <w:rPr>
                <w:rFonts w:eastAsia="仿宋"/>
                <w:color w:val="auto"/>
                <w:sz w:val="24"/>
                <w:szCs w:val="24"/>
              </w:rPr>
              <w:t>依据突发环境事故风险等级启动相应级别的应急预案，上级应急预案启动时，下级应急预案同时启动。</w:t>
            </w:r>
          </w:p>
        </w:tc>
        <w:tc>
          <w:tcPr>
            <w:tcW w:w="709" w:type="dxa"/>
            <w:vMerge w:val="continue"/>
            <w:noWrap w:val="0"/>
            <w:vAlign w:val="center"/>
          </w:tcPr>
          <w:p w14:paraId="3D6B5EA5">
            <w:pPr>
              <w:adjustRightInd w:val="0"/>
              <w:snapToGrid w:val="0"/>
              <w:jc w:val="center"/>
              <w:rPr>
                <w:rFonts w:eastAsia="仿宋"/>
                <w:color w:val="auto"/>
                <w:sz w:val="24"/>
                <w:szCs w:val="24"/>
              </w:rPr>
            </w:pPr>
          </w:p>
        </w:tc>
      </w:tr>
      <w:tr w14:paraId="66D105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BE3AF79">
            <w:pPr>
              <w:adjustRightInd w:val="0"/>
              <w:snapToGrid w:val="0"/>
              <w:jc w:val="center"/>
              <w:rPr>
                <w:rFonts w:eastAsia="仿宋"/>
                <w:color w:val="auto"/>
                <w:sz w:val="24"/>
                <w:szCs w:val="24"/>
              </w:rPr>
            </w:pPr>
            <w:r>
              <w:rPr>
                <w:rFonts w:eastAsia="仿宋"/>
                <w:color w:val="auto"/>
                <w:sz w:val="24"/>
                <w:szCs w:val="24"/>
              </w:rPr>
              <w:t>排查</w:t>
            </w:r>
          </w:p>
        </w:tc>
        <w:tc>
          <w:tcPr>
            <w:tcW w:w="6946" w:type="dxa"/>
            <w:noWrap w:val="0"/>
            <w:vAlign w:val="center"/>
          </w:tcPr>
          <w:p w14:paraId="259475E3">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（1）对于已明确事故企业的事故情形，由企业及各相关部门负责人尽快确定</w:t>
            </w:r>
            <w:r>
              <w:rPr>
                <w:rFonts w:hint="eastAsia" w:eastAsia="仿宋"/>
                <w:color w:val="auto"/>
                <w:sz w:val="24"/>
                <w:szCs w:val="24"/>
              </w:rPr>
              <w:t>液化天然气</w:t>
            </w:r>
            <w:r>
              <w:rPr>
                <w:rFonts w:eastAsia="仿宋"/>
                <w:color w:val="auto"/>
                <w:sz w:val="24"/>
                <w:szCs w:val="24"/>
              </w:rPr>
              <w:t>泄漏</w:t>
            </w:r>
            <w:r>
              <w:rPr>
                <w:rFonts w:hint="eastAsia" w:eastAsia="仿宋"/>
                <w:color w:val="auto"/>
                <w:sz w:val="24"/>
                <w:szCs w:val="24"/>
              </w:rPr>
              <w:t>点</w:t>
            </w:r>
            <w:r>
              <w:rPr>
                <w:rFonts w:eastAsia="仿宋"/>
                <w:color w:val="auto"/>
                <w:sz w:val="24"/>
                <w:szCs w:val="24"/>
              </w:rPr>
              <w:t>、泄漏原因、泄漏量和预期发展趋势；</w:t>
            </w:r>
          </w:p>
          <w:p w14:paraId="397888CB">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（2）对于接到群众举报，泄漏企业未知事故情形，和属地乡镇/街道人民政府应迅速对所辖范围内可能涉及</w:t>
            </w:r>
            <w:r>
              <w:rPr>
                <w:rFonts w:hint="eastAsia" w:eastAsia="仿宋"/>
                <w:color w:val="auto"/>
                <w:sz w:val="24"/>
                <w:szCs w:val="24"/>
              </w:rPr>
              <w:t>液化天然气</w:t>
            </w:r>
            <w:r>
              <w:rPr>
                <w:rFonts w:eastAsia="仿宋"/>
                <w:color w:val="auto"/>
                <w:sz w:val="24"/>
                <w:szCs w:val="24"/>
              </w:rPr>
              <w:t>泄漏、排放的企业逐一联系、调查，电话联系不上的要迅速派人前往；同时，</w:t>
            </w:r>
            <w:r>
              <w:rPr>
                <w:rFonts w:hint="eastAsia" w:eastAsia="仿宋"/>
                <w:color w:val="auto"/>
                <w:sz w:val="24"/>
                <w:szCs w:val="24"/>
              </w:rPr>
              <w:t>大气中天然气浓度变化特征进行快速溯源</w:t>
            </w:r>
            <w:r>
              <w:rPr>
                <w:rFonts w:eastAsia="仿宋"/>
                <w:color w:val="auto"/>
                <w:sz w:val="24"/>
                <w:szCs w:val="24"/>
              </w:rPr>
              <w:t>。</w:t>
            </w:r>
          </w:p>
        </w:tc>
        <w:tc>
          <w:tcPr>
            <w:tcW w:w="709" w:type="dxa"/>
            <w:vMerge w:val="continue"/>
            <w:noWrap w:val="0"/>
            <w:vAlign w:val="center"/>
          </w:tcPr>
          <w:p w14:paraId="0B175706">
            <w:pPr>
              <w:adjustRightInd w:val="0"/>
              <w:snapToGrid w:val="0"/>
              <w:jc w:val="center"/>
              <w:rPr>
                <w:rFonts w:eastAsia="仿宋"/>
                <w:color w:val="auto"/>
                <w:sz w:val="24"/>
                <w:szCs w:val="24"/>
              </w:rPr>
            </w:pPr>
          </w:p>
        </w:tc>
      </w:tr>
      <w:tr w14:paraId="27A4B5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0C5EE16">
            <w:pPr>
              <w:adjustRightInd w:val="0"/>
              <w:snapToGrid w:val="0"/>
              <w:jc w:val="center"/>
              <w:rPr>
                <w:rFonts w:eastAsia="仿宋"/>
                <w:color w:val="auto"/>
                <w:sz w:val="24"/>
                <w:szCs w:val="24"/>
              </w:rPr>
            </w:pPr>
            <w:r>
              <w:rPr>
                <w:rFonts w:eastAsia="仿宋"/>
                <w:color w:val="auto"/>
                <w:sz w:val="24"/>
                <w:szCs w:val="24"/>
              </w:rPr>
              <w:t>控源截污</w:t>
            </w:r>
          </w:p>
        </w:tc>
        <w:tc>
          <w:tcPr>
            <w:tcW w:w="6946" w:type="dxa"/>
            <w:noWrap w:val="0"/>
            <w:vAlign w:val="center"/>
          </w:tcPr>
          <w:p w14:paraId="69F802C3">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w:t>
            </w:r>
            <w:r>
              <w:rPr>
                <w:rFonts w:hint="eastAsia" w:eastAsia="仿宋"/>
                <w:color w:val="auto"/>
                <w:sz w:val="24"/>
                <w:szCs w:val="24"/>
              </w:rPr>
              <w:t>立即根据地形、气象等，在距离至少</w:t>
            </w:r>
            <w:r>
              <w:rPr>
                <w:rFonts w:eastAsia="仿宋"/>
                <w:color w:val="auto"/>
                <w:sz w:val="24"/>
                <w:szCs w:val="24"/>
              </w:rPr>
              <w:t>100米范围内实行全面戒严。划出警戒线，设立明显标志，以各种方式和手段通知警戒区和周边人员迅速撤离，禁止一切车辆和无关人员进入警戒区。对于大型泄漏现场，增大隔壁区；</w:t>
            </w:r>
          </w:p>
          <w:p w14:paraId="27250A4A">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w:t>
            </w:r>
            <w:r>
              <w:rPr>
                <w:rFonts w:eastAsia="仿宋"/>
                <w:color w:val="auto"/>
                <w:sz w:val="24"/>
                <w:szCs w:val="24"/>
              </w:rPr>
              <w:t>2）</w:t>
            </w:r>
            <w:r>
              <w:rPr>
                <w:rFonts w:hint="eastAsia" w:eastAsia="仿宋"/>
                <w:color w:val="auto"/>
                <w:sz w:val="24"/>
                <w:szCs w:val="24"/>
              </w:rPr>
              <w:t>消除所有火种，立即在警戒区内停电、停火，灭绝一切可能引发火灾和爆炸的火种。进入危险区前用水枪将地面喷湿，以防止摩擦、撞击产生火花，作业时设备应确保接地；</w:t>
            </w:r>
          </w:p>
          <w:p w14:paraId="007D5485">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w:t>
            </w:r>
            <w:r>
              <w:rPr>
                <w:rFonts w:eastAsia="仿宋"/>
                <w:color w:val="auto"/>
                <w:sz w:val="24"/>
                <w:szCs w:val="24"/>
              </w:rPr>
              <w:t>3）</w:t>
            </w:r>
            <w:r>
              <w:rPr>
                <w:rFonts w:hint="eastAsia" w:eastAsia="仿宋"/>
                <w:color w:val="auto"/>
                <w:sz w:val="24"/>
                <w:szCs w:val="24"/>
              </w:rPr>
              <w:t>在保证安全的情况下堵漏或翻转容器、槽车，避免液体漏出；</w:t>
            </w:r>
          </w:p>
          <w:p w14:paraId="3635F425">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（4）导流泄压，若各流程管线完好，可通过液管线、排污管线，将液态烃导入紧急事故罐，或采用注水升浮法，将液化石油气界位抬高到泄漏部位以上；</w:t>
            </w:r>
          </w:p>
          <w:p w14:paraId="4531F13B">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（5）罐体掩护，从安全距离，利用带架水枪以开花的形式和固定式喷雾水枪对准罐壁和泄漏点喷射，以降低温度和可燃气体的浓度；</w:t>
            </w:r>
          </w:p>
          <w:p w14:paraId="5ECC5ADF">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（6）控制蒸汽云，用中倍数泡沫或干粉覆盖泄漏的液相，减少液化气蒸发；用喷雾水（或强制通风）转移蒸汽云飘逸的方向，使其在安全地方扩散掉；</w:t>
            </w:r>
          </w:p>
          <w:p w14:paraId="46CE4FD0">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（7）处置组织与现场监测随时使用可燃气体检测仪监视检测警戒区内的气体浓度，人员随时做好撤离准备。</w:t>
            </w:r>
          </w:p>
          <w:p w14:paraId="61311DD9">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（8）禁止用水直接冲击泄漏物或泄露源；防止泄漏物向下水道、通风系统和密闭性空间扩散；隔离警戒区直至液化石油气达到爆炸下限</w:t>
            </w:r>
            <w:r>
              <w:rPr>
                <w:rFonts w:eastAsia="仿宋"/>
                <w:color w:val="auto"/>
                <w:sz w:val="24"/>
                <w:szCs w:val="24"/>
              </w:rPr>
              <w:t>25%以下方可撤除。</w:t>
            </w:r>
          </w:p>
        </w:tc>
        <w:tc>
          <w:tcPr>
            <w:tcW w:w="709" w:type="dxa"/>
            <w:vMerge w:val="continue"/>
            <w:noWrap w:val="0"/>
            <w:vAlign w:val="center"/>
          </w:tcPr>
          <w:p w14:paraId="36B27E98">
            <w:pPr>
              <w:adjustRightInd w:val="0"/>
              <w:snapToGrid w:val="0"/>
              <w:jc w:val="center"/>
              <w:rPr>
                <w:rFonts w:eastAsia="仿宋"/>
                <w:color w:val="auto"/>
                <w:sz w:val="24"/>
                <w:szCs w:val="24"/>
              </w:rPr>
            </w:pPr>
          </w:p>
        </w:tc>
      </w:tr>
      <w:tr w14:paraId="0E8A79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20DE1055">
            <w:pPr>
              <w:adjustRightInd w:val="0"/>
              <w:snapToGrid w:val="0"/>
              <w:jc w:val="center"/>
              <w:rPr>
                <w:rFonts w:eastAsia="仿宋"/>
                <w:color w:val="auto"/>
                <w:sz w:val="24"/>
                <w:szCs w:val="24"/>
              </w:rPr>
            </w:pPr>
            <w:r>
              <w:rPr>
                <w:rFonts w:eastAsia="仿宋"/>
                <w:color w:val="auto"/>
                <w:sz w:val="24"/>
                <w:szCs w:val="24"/>
              </w:rPr>
              <w:t>检测</w:t>
            </w:r>
          </w:p>
        </w:tc>
        <w:tc>
          <w:tcPr>
            <w:tcW w:w="6946" w:type="dxa"/>
            <w:noWrap w:val="0"/>
            <w:vAlign w:val="center"/>
          </w:tcPr>
          <w:p w14:paraId="639D3BC1">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（1）由专业技术人员进行现场检测；</w:t>
            </w:r>
          </w:p>
          <w:p w14:paraId="018C5D69">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以泄漏点为中心，在下风向按一定间隔的扇形或圆形布点，并根据污染物的特性在不同高度采样，同时在事故点的上风向适当位置布设对照点；在可能受污染影响的居民住宅区或人群活动区等敏感点必须设置采样点，采样过程中应注意风向变化，及时调整采样点位置</w:t>
            </w:r>
            <w:r>
              <w:rPr>
                <w:rFonts w:hint="eastAsia" w:eastAsia="仿宋"/>
                <w:color w:val="auto"/>
                <w:sz w:val="24"/>
                <w:szCs w:val="24"/>
              </w:rPr>
              <w:t>，观测大气中V</w:t>
            </w:r>
            <w:r>
              <w:rPr>
                <w:rFonts w:eastAsia="仿宋"/>
                <w:color w:val="auto"/>
                <w:sz w:val="24"/>
                <w:szCs w:val="24"/>
              </w:rPr>
              <w:t>OC</w:t>
            </w:r>
            <w:r>
              <w:rPr>
                <w:rFonts w:hint="eastAsia" w:eastAsia="仿宋"/>
                <w:color w:val="auto"/>
                <w:sz w:val="24"/>
                <w:szCs w:val="24"/>
              </w:rPr>
              <w:t>s含量</w:t>
            </w:r>
            <w:r>
              <w:rPr>
                <w:rFonts w:eastAsia="仿宋"/>
                <w:color w:val="auto"/>
                <w:sz w:val="24"/>
                <w:szCs w:val="24"/>
              </w:rPr>
              <w:t>。</w:t>
            </w:r>
          </w:p>
          <w:p w14:paraId="70BF5CEE">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在事故发生地，初始加密（6次/天）监测，随着污染物浓度的下降逐渐降低频次；在事故发生地周围居民区等敏感区域，初始加密（6次/天）监测，随着污染物浓度的下降逐渐降低频次；在事故发生地下风向，4次/天或与事故发生地同频次（应急期间）；在事故发生地上风向对照点，4次/天（应急期间）。根据应急需要，可适当增加或降低监测频次。</w:t>
            </w:r>
          </w:p>
        </w:tc>
        <w:tc>
          <w:tcPr>
            <w:tcW w:w="709" w:type="dxa"/>
            <w:vMerge w:val="continue"/>
            <w:noWrap w:val="0"/>
            <w:vAlign w:val="center"/>
          </w:tcPr>
          <w:p w14:paraId="1E76CB64">
            <w:pPr>
              <w:adjustRightInd w:val="0"/>
              <w:snapToGrid w:val="0"/>
              <w:jc w:val="center"/>
              <w:rPr>
                <w:rFonts w:eastAsia="仿宋"/>
                <w:color w:val="auto"/>
                <w:sz w:val="24"/>
                <w:szCs w:val="24"/>
              </w:rPr>
            </w:pPr>
          </w:p>
        </w:tc>
      </w:tr>
      <w:tr w14:paraId="5B085B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00F5F570">
            <w:pPr>
              <w:adjustRightInd w:val="0"/>
              <w:snapToGrid w:val="0"/>
              <w:jc w:val="center"/>
              <w:rPr>
                <w:rFonts w:eastAsia="仿宋"/>
                <w:color w:val="auto"/>
                <w:sz w:val="24"/>
                <w:szCs w:val="24"/>
              </w:rPr>
            </w:pPr>
            <w:r>
              <w:rPr>
                <w:rFonts w:eastAsia="仿宋"/>
                <w:color w:val="auto"/>
                <w:sz w:val="24"/>
                <w:szCs w:val="24"/>
              </w:rPr>
              <w:t>后勤保障</w:t>
            </w:r>
          </w:p>
        </w:tc>
        <w:tc>
          <w:tcPr>
            <w:tcW w:w="6946" w:type="dxa"/>
            <w:noWrap w:val="0"/>
            <w:vAlign w:val="center"/>
          </w:tcPr>
          <w:p w14:paraId="21E8A636">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（1）应急车辆的安排和调配；</w:t>
            </w:r>
          </w:p>
          <w:p w14:paraId="778610C2">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（2）应急救援物资及临时人员安置物资调拨和紧急配送；</w:t>
            </w:r>
          </w:p>
          <w:p w14:paraId="298427CE">
            <w:pPr>
              <w:adjustRightInd w:val="0"/>
              <w:snapToGrid w:val="0"/>
              <w:spacing w:line="360" w:lineRule="auto"/>
              <w:ind w:left="600" w:hanging="600" w:hangingChars="250"/>
              <w:rPr>
                <w:rFonts w:eastAsia="仿宋"/>
                <w:color w:val="auto"/>
                <w:sz w:val="24"/>
                <w:szCs w:val="24"/>
              </w:rPr>
            </w:pPr>
            <w:r>
              <w:rPr>
                <w:rFonts w:eastAsia="仿宋"/>
                <w:color w:val="auto"/>
                <w:sz w:val="24"/>
                <w:szCs w:val="24"/>
              </w:rPr>
              <w:t>（3）交通调度；</w:t>
            </w:r>
          </w:p>
          <w:p w14:paraId="58CE0B70">
            <w:pPr>
              <w:adjustRightInd w:val="0"/>
              <w:snapToGrid w:val="0"/>
              <w:spacing w:line="360" w:lineRule="auto"/>
              <w:ind w:left="600" w:hanging="600" w:hangingChars="250"/>
              <w:rPr>
                <w:rFonts w:eastAsia="仿宋"/>
                <w:color w:val="auto"/>
                <w:sz w:val="24"/>
                <w:szCs w:val="24"/>
              </w:rPr>
            </w:pPr>
            <w:r>
              <w:rPr>
                <w:rFonts w:eastAsia="仿宋"/>
                <w:color w:val="auto"/>
                <w:sz w:val="24"/>
                <w:szCs w:val="24"/>
              </w:rPr>
              <w:t>（4）电力、通讯、燃气和饮水保障；</w:t>
            </w:r>
          </w:p>
          <w:p w14:paraId="183FD44C">
            <w:pPr>
              <w:adjustRightInd w:val="0"/>
              <w:snapToGrid w:val="0"/>
              <w:spacing w:line="360" w:lineRule="auto"/>
              <w:ind w:left="600" w:hanging="600" w:hangingChars="250"/>
              <w:rPr>
                <w:rFonts w:eastAsia="仿宋"/>
                <w:color w:val="auto"/>
                <w:sz w:val="24"/>
                <w:szCs w:val="24"/>
              </w:rPr>
            </w:pPr>
            <w:r>
              <w:rPr>
                <w:rFonts w:hint="eastAsia" w:eastAsia="仿宋"/>
                <w:color w:val="auto"/>
                <w:sz w:val="24"/>
                <w:szCs w:val="24"/>
              </w:rPr>
              <w:t>（5）现场应急工作人员食宿等基本生活保障；</w:t>
            </w:r>
          </w:p>
          <w:p w14:paraId="64C8C818">
            <w:pPr>
              <w:adjustRightInd w:val="0"/>
              <w:snapToGrid w:val="0"/>
              <w:spacing w:line="360" w:lineRule="auto"/>
              <w:ind w:left="600" w:hanging="600" w:hangingChars="250"/>
              <w:rPr>
                <w:rFonts w:eastAsia="仿宋"/>
                <w:color w:val="auto"/>
                <w:sz w:val="24"/>
                <w:szCs w:val="24"/>
              </w:rPr>
            </w:pPr>
            <w:r>
              <w:rPr>
                <w:rFonts w:eastAsia="仿宋"/>
                <w:color w:val="auto"/>
                <w:sz w:val="24"/>
                <w:szCs w:val="24"/>
              </w:rPr>
              <w:t>（5）提供应急救援资金。</w:t>
            </w:r>
          </w:p>
        </w:tc>
        <w:tc>
          <w:tcPr>
            <w:tcW w:w="709" w:type="dxa"/>
            <w:vMerge w:val="continue"/>
            <w:noWrap w:val="0"/>
            <w:vAlign w:val="center"/>
          </w:tcPr>
          <w:p w14:paraId="6687869B">
            <w:pPr>
              <w:adjustRightInd w:val="0"/>
              <w:snapToGrid w:val="0"/>
              <w:jc w:val="center"/>
              <w:rPr>
                <w:rFonts w:eastAsia="仿宋"/>
                <w:color w:val="auto"/>
                <w:sz w:val="24"/>
                <w:szCs w:val="24"/>
              </w:rPr>
            </w:pPr>
          </w:p>
        </w:tc>
      </w:tr>
      <w:tr w14:paraId="7BF8CE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3C64866D">
            <w:pPr>
              <w:adjustRightInd w:val="0"/>
              <w:snapToGrid w:val="0"/>
              <w:jc w:val="center"/>
              <w:rPr>
                <w:rFonts w:eastAsia="仿宋"/>
                <w:color w:val="auto"/>
                <w:sz w:val="24"/>
                <w:szCs w:val="24"/>
              </w:rPr>
            </w:pPr>
            <w:r>
              <w:rPr>
                <w:rFonts w:eastAsia="仿宋"/>
                <w:color w:val="auto"/>
                <w:sz w:val="24"/>
                <w:szCs w:val="24"/>
              </w:rPr>
              <w:t>恢复处置</w:t>
            </w:r>
          </w:p>
        </w:tc>
        <w:tc>
          <w:tcPr>
            <w:tcW w:w="6946" w:type="dxa"/>
            <w:noWrap w:val="0"/>
            <w:vAlign w:val="center"/>
          </w:tcPr>
          <w:p w14:paraId="0F4ACC1D">
            <w:pPr>
              <w:adjustRightInd w:val="0"/>
              <w:snapToGrid w:val="0"/>
              <w:spacing w:before="120" w:beforeLines="50" w:line="360" w:lineRule="auto"/>
              <w:ind w:left="600" w:hanging="600" w:hangingChars="250"/>
              <w:rPr>
                <w:rFonts w:eastAsia="仿宋"/>
                <w:color w:val="auto"/>
                <w:sz w:val="24"/>
                <w:szCs w:val="24"/>
              </w:rPr>
            </w:pPr>
            <w:r>
              <w:rPr>
                <w:rFonts w:eastAsia="仿宋"/>
                <w:color w:val="auto"/>
                <w:sz w:val="24"/>
                <w:szCs w:val="24"/>
              </w:rPr>
              <w:t>（1）群众回迁；</w:t>
            </w:r>
          </w:p>
          <w:p w14:paraId="65DCF7BA">
            <w:pPr>
              <w:adjustRightInd w:val="0"/>
              <w:snapToGrid w:val="0"/>
              <w:spacing w:line="360" w:lineRule="auto"/>
              <w:ind w:left="600" w:hanging="600" w:hangingChars="250"/>
              <w:rPr>
                <w:rFonts w:eastAsia="仿宋"/>
                <w:color w:val="auto"/>
                <w:sz w:val="24"/>
                <w:szCs w:val="24"/>
              </w:rPr>
            </w:pPr>
            <w:r>
              <w:rPr>
                <w:rFonts w:eastAsia="仿宋"/>
                <w:color w:val="auto"/>
                <w:sz w:val="24"/>
                <w:szCs w:val="24"/>
              </w:rPr>
              <w:t>（2）工艺设施维修、鉴定和恢复生产；</w:t>
            </w:r>
          </w:p>
          <w:p w14:paraId="43C188E8">
            <w:pPr>
              <w:adjustRightInd w:val="0"/>
              <w:snapToGrid w:val="0"/>
              <w:spacing w:line="360" w:lineRule="auto"/>
              <w:ind w:left="600" w:hanging="600" w:hangingChars="250"/>
              <w:rPr>
                <w:rFonts w:eastAsia="仿宋"/>
                <w:color w:val="auto"/>
                <w:sz w:val="24"/>
                <w:szCs w:val="24"/>
              </w:rPr>
            </w:pPr>
            <w:r>
              <w:rPr>
                <w:rFonts w:eastAsia="仿宋"/>
                <w:color w:val="auto"/>
                <w:sz w:val="24"/>
                <w:szCs w:val="24"/>
              </w:rPr>
              <w:t>（</w:t>
            </w:r>
            <w:r>
              <w:rPr>
                <w:rFonts w:hint="eastAsia" w:eastAsia="仿宋"/>
                <w:color w:val="auto"/>
                <w:sz w:val="24"/>
                <w:szCs w:val="24"/>
              </w:rPr>
              <w:t>3</w:t>
            </w:r>
            <w:r>
              <w:rPr>
                <w:rFonts w:eastAsia="仿宋"/>
                <w:color w:val="auto"/>
                <w:sz w:val="24"/>
                <w:szCs w:val="24"/>
              </w:rPr>
              <w:t>）责任赔偿。</w:t>
            </w:r>
          </w:p>
        </w:tc>
        <w:tc>
          <w:tcPr>
            <w:tcW w:w="709" w:type="dxa"/>
            <w:vMerge w:val="continue"/>
            <w:noWrap w:val="0"/>
            <w:vAlign w:val="center"/>
          </w:tcPr>
          <w:p w14:paraId="0C734346">
            <w:pPr>
              <w:adjustRightInd w:val="0"/>
              <w:snapToGrid w:val="0"/>
              <w:jc w:val="center"/>
              <w:rPr>
                <w:rFonts w:eastAsia="仿宋"/>
                <w:color w:val="auto"/>
                <w:sz w:val="24"/>
                <w:szCs w:val="24"/>
              </w:rPr>
            </w:pPr>
          </w:p>
        </w:tc>
      </w:tr>
      <w:tr w14:paraId="260390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704" w:type="dxa"/>
            <w:noWrap w:val="0"/>
            <w:vAlign w:val="center"/>
          </w:tcPr>
          <w:p w14:paraId="21FE2729">
            <w:pPr>
              <w:adjustRightInd w:val="0"/>
              <w:snapToGrid w:val="0"/>
              <w:jc w:val="center"/>
              <w:rPr>
                <w:rFonts w:eastAsia="仿宋"/>
                <w:color w:val="auto"/>
                <w:sz w:val="24"/>
                <w:szCs w:val="24"/>
              </w:rPr>
            </w:pPr>
            <w:r>
              <w:rPr>
                <w:rFonts w:eastAsia="仿宋"/>
                <w:color w:val="auto"/>
                <w:sz w:val="24"/>
                <w:szCs w:val="24"/>
              </w:rPr>
              <w:t>注意事项</w:t>
            </w:r>
          </w:p>
        </w:tc>
        <w:tc>
          <w:tcPr>
            <w:tcW w:w="6946" w:type="dxa"/>
            <w:noWrap w:val="0"/>
            <w:vAlign w:val="center"/>
          </w:tcPr>
          <w:p w14:paraId="2FD993F6">
            <w:pPr>
              <w:adjustRightInd w:val="0"/>
              <w:snapToGrid w:val="0"/>
              <w:spacing w:before="120" w:beforeLines="50" w:line="360" w:lineRule="auto"/>
              <w:rPr>
                <w:rFonts w:eastAsia="仿宋"/>
                <w:color w:val="auto"/>
                <w:sz w:val="24"/>
                <w:szCs w:val="24"/>
              </w:rPr>
            </w:pPr>
            <w:r>
              <w:rPr>
                <w:rFonts w:hint="eastAsia" w:eastAsia="仿宋"/>
                <w:color w:val="auto"/>
                <w:sz w:val="24"/>
                <w:szCs w:val="24"/>
              </w:rPr>
              <w:t>作业时必须严格执行防火、防静电、防中毒等安全技术要求。佩戴防毒面具。空气呼吸器、穿全密封阻燃防化服。</w:t>
            </w:r>
          </w:p>
        </w:tc>
        <w:tc>
          <w:tcPr>
            <w:tcW w:w="709" w:type="dxa"/>
            <w:noWrap w:val="0"/>
            <w:vAlign w:val="center"/>
          </w:tcPr>
          <w:p w14:paraId="06D8C963">
            <w:pPr>
              <w:adjustRightInd w:val="0"/>
              <w:snapToGrid w:val="0"/>
              <w:jc w:val="center"/>
              <w:rPr>
                <w:rFonts w:eastAsia="仿宋"/>
                <w:color w:val="auto"/>
                <w:sz w:val="24"/>
                <w:szCs w:val="24"/>
              </w:rPr>
            </w:pPr>
          </w:p>
        </w:tc>
      </w:tr>
    </w:tbl>
    <w:p w14:paraId="7C9FAF93">
      <w:pPr>
        <w:jc w:val="center"/>
        <w:rPr>
          <w:color w:val="auto"/>
        </w:rPr>
      </w:pPr>
    </w:p>
    <w:p w14:paraId="6E980FB2">
      <w:pPr>
        <w:adjustRightInd w:val="0"/>
        <w:snapToGrid w:val="0"/>
        <w:spacing w:before="120" w:beforeLines="50" w:after="120" w:afterLines="50" w:line="360" w:lineRule="auto"/>
        <w:ind w:left="0"/>
        <w:outlineLvl w:val="0"/>
        <w:rPr>
          <w:rFonts w:eastAsia="仿宋"/>
          <w:b/>
          <w:color w:val="auto"/>
          <w:sz w:val="28"/>
          <w:szCs w:val="28"/>
        </w:rPr>
      </w:pPr>
      <w:r>
        <w:rPr>
          <w:color w:val="auto"/>
        </w:rPr>
        <w:br w:type="page"/>
      </w:r>
      <w:bookmarkStart w:id="485" w:name="_Toc969347468"/>
      <w:bookmarkStart w:id="486" w:name="_Toc17878"/>
      <w:r>
        <w:rPr>
          <w:rFonts w:eastAsia="仿宋"/>
          <w:b/>
          <w:color w:val="auto"/>
          <w:sz w:val="28"/>
          <w:szCs w:val="28"/>
        </w:rPr>
        <w:t>附件</w:t>
      </w:r>
      <w:r>
        <w:rPr>
          <w:rFonts w:hint="eastAsia" w:eastAsia="仿宋"/>
          <w:b/>
          <w:color w:val="auto"/>
          <w:sz w:val="28"/>
          <w:szCs w:val="28"/>
        </w:rPr>
        <w:t>5</w:t>
      </w:r>
      <w:r>
        <w:rPr>
          <w:rFonts w:eastAsia="仿宋"/>
          <w:b/>
          <w:color w:val="auto"/>
          <w:sz w:val="28"/>
          <w:szCs w:val="28"/>
        </w:rPr>
        <w:t>：标准化格式文本</w:t>
      </w:r>
      <w:bookmarkEnd w:id="485"/>
      <w:bookmarkEnd w:id="486"/>
    </w:p>
    <w:p w14:paraId="41BAD0F2">
      <w:pPr>
        <w:jc w:val="center"/>
        <w:rPr>
          <w:rFonts w:eastAsia="仿宋"/>
          <w:b/>
          <w:bCs/>
          <w:color w:val="auto"/>
          <w:sz w:val="28"/>
          <w:szCs w:val="28"/>
        </w:rPr>
      </w:pPr>
      <w:r>
        <w:rPr>
          <w:rFonts w:eastAsia="仿宋"/>
          <w:b/>
          <w:bCs/>
          <w:color w:val="auto"/>
          <w:sz w:val="28"/>
          <w:szCs w:val="28"/>
        </w:rPr>
        <w:t>预警通知单</w:t>
      </w:r>
    </w:p>
    <w:p w14:paraId="3803FAB8">
      <w:pPr>
        <w:ind w:firstLine="560" w:firstLineChars="200"/>
        <w:jc w:val="left"/>
        <w:rPr>
          <w:rFonts w:eastAsia="仿宋"/>
          <w:color w:val="auto"/>
          <w:sz w:val="28"/>
          <w:szCs w:val="28"/>
        </w:rPr>
      </w:pPr>
      <w:r>
        <w:rPr>
          <w:rFonts w:eastAsia="仿宋"/>
          <w:color w:val="auto"/>
          <w:sz w:val="28"/>
          <w:szCs w:val="28"/>
        </w:rPr>
        <w:t>预警通知【】第号</w:t>
      </w:r>
    </w:p>
    <w:tbl>
      <w:tblPr>
        <w:tblStyle w:val="2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6"/>
        <w:gridCol w:w="2190"/>
        <w:gridCol w:w="2111"/>
        <w:gridCol w:w="2097"/>
      </w:tblGrid>
      <w:tr w14:paraId="48C31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2112" w:type="dxa"/>
            <w:noWrap w:val="0"/>
            <w:vAlign w:val="center"/>
          </w:tcPr>
          <w:p w14:paraId="4F00283B">
            <w:pPr>
              <w:snapToGrid w:val="0"/>
              <w:spacing w:line="240" w:lineRule="atLeast"/>
              <w:jc w:val="center"/>
              <w:rPr>
                <w:rFonts w:eastAsia="仿宋"/>
                <w:color w:val="auto"/>
                <w:sz w:val="28"/>
                <w:szCs w:val="28"/>
              </w:rPr>
            </w:pPr>
            <w:r>
              <w:rPr>
                <w:rFonts w:eastAsia="仿宋"/>
                <w:color w:val="auto"/>
                <w:sz w:val="28"/>
                <w:szCs w:val="28"/>
              </w:rPr>
              <w:t>发送时间</w:t>
            </w:r>
          </w:p>
        </w:tc>
        <w:tc>
          <w:tcPr>
            <w:tcW w:w="2313" w:type="dxa"/>
            <w:noWrap w:val="0"/>
            <w:vAlign w:val="center"/>
          </w:tcPr>
          <w:p w14:paraId="64EF2F39">
            <w:pPr>
              <w:snapToGrid w:val="0"/>
              <w:spacing w:line="240" w:lineRule="atLeast"/>
              <w:jc w:val="center"/>
              <w:rPr>
                <w:rFonts w:eastAsia="仿宋"/>
                <w:color w:val="auto"/>
                <w:sz w:val="28"/>
                <w:szCs w:val="28"/>
              </w:rPr>
            </w:pPr>
          </w:p>
        </w:tc>
        <w:tc>
          <w:tcPr>
            <w:tcW w:w="2212" w:type="dxa"/>
            <w:noWrap w:val="0"/>
            <w:vAlign w:val="center"/>
          </w:tcPr>
          <w:p w14:paraId="05D7289B">
            <w:pPr>
              <w:snapToGrid w:val="0"/>
              <w:spacing w:line="240" w:lineRule="atLeast"/>
              <w:jc w:val="center"/>
              <w:rPr>
                <w:rFonts w:eastAsia="仿宋"/>
                <w:color w:val="auto"/>
                <w:sz w:val="28"/>
                <w:szCs w:val="28"/>
              </w:rPr>
            </w:pPr>
            <w:r>
              <w:rPr>
                <w:rFonts w:eastAsia="仿宋"/>
                <w:color w:val="auto"/>
                <w:sz w:val="28"/>
                <w:szCs w:val="28"/>
              </w:rPr>
              <w:t>签发人</w:t>
            </w:r>
          </w:p>
        </w:tc>
        <w:tc>
          <w:tcPr>
            <w:tcW w:w="2212" w:type="dxa"/>
            <w:noWrap w:val="0"/>
            <w:vAlign w:val="center"/>
          </w:tcPr>
          <w:p w14:paraId="28446F81">
            <w:pPr>
              <w:snapToGrid w:val="0"/>
              <w:spacing w:line="240" w:lineRule="atLeast"/>
              <w:jc w:val="center"/>
              <w:rPr>
                <w:rFonts w:eastAsia="仿宋"/>
                <w:color w:val="auto"/>
                <w:sz w:val="28"/>
                <w:szCs w:val="28"/>
              </w:rPr>
            </w:pPr>
          </w:p>
        </w:tc>
      </w:tr>
      <w:tr w14:paraId="6E7B3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2112" w:type="dxa"/>
            <w:noWrap w:val="0"/>
            <w:vAlign w:val="center"/>
          </w:tcPr>
          <w:p w14:paraId="23AE671C">
            <w:pPr>
              <w:snapToGrid w:val="0"/>
              <w:spacing w:line="240" w:lineRule="atLeast"/>
              <w:jc w:val="center"/>
              <w:rPr>
                <w:rFonts w:eastAsia="仿宋"/>
                <w:color w:val="auto"/>
                <w:sz w:val="28"/>
                <w:szCs w:val="28"/>
              </w:rPr>
            </w:pPr>
            <w:r>
              <w:rPr>
                <w:rFonts w:eastAsia="仿宋"/>
                <w:color w:val="auto"/>
                <w:sz w:val="28"/>
                <w:szCs w:val="28"/>
              </w:rPr>
              <w:t>主送单位</w:t>
            </w:r>
          </w:p>
        </w:tc>
        <w:tc>
          <w:tcPr>
            <w:tcW w:w="6739" w:type="dxa"/>
            <w:gridSpan w:val="3"/>
            <w:noWrap w:val="0"/>
            <w:vAlign w:val="center"/>
          </w:tcPr>
          <w:p w14:paraId="5C1CE8BD">
            <w:pPr>
              <w:snapToGrid w:val="0"/>
              <w:spacing w:line="240" w:lineRule="atLeast"/>
              <w:jc w:val="center"/>
              <w:rPr>
                <w:rFonts w:eastAsia="仿宋"/>
                <w:color w:val="auto"/>
                <w:sz w:val="28"/>
                <w:szCs w:val="28"/>
              </w:rPr>
            </w:pPr>
          </w:p>
        </w:tc>
      </w:tr>
      <w:tr w14:paraId="2532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2112" w:type="dxa"/>
            <w:noWrap w:val="0"/>
            <w:vAlign w:val="center"/>
          </w:tcPr>
          <w:p w14:paraId="3264B362">
            <w:pPr>
              <w:snapToGrid w:val="0"/>
              <w:spacing w:line="240" w:lineRule="atLeast"/>
              <w:jc w:val="center"/>
              <w:rPr>
                <w:rFonts w:eastAsia="仿宋"/>
                <w:color w:val="auto"/>
                <w:sz w:val="28"/>
                <w:szCs w:val="28"/>
              </w:rPr>
            </w:pPr>
            <w:r>
              <w:rPr>
                <w:rFonts w:eastAsia="仿宋"/>
                <w:color w:val="auto"/>
                <w:sz w:val="28"/>
                <w:szCs w:val="28"/>
              </w:rPr>
              <w:t>预警级别</w:t>
            </w:r>
          </w:p>
        </w:tc>
        <w:tc>
          <w:tcPr>
            <w:tcW w:w="6739" w:type="dxa"/>
            <w:gridSpan w:val="3"/>
            <w:noWrap w:val="0"/>
            <w:vAlign w:val="center"/>
          </w:tcPr>
          <w:p w14:paraId="4BF1EDE1">
            <w:pPr>
              <w:snapToGrid w:val="0"/>
              <w:spacing w:line="240" w:lineRule="atLeast"/>
              <w:jc w:val="center"/>
              <w:rPr>
                <w:rFonts w:eastAsia="仿宋"/>
                <w:color w:val="auto"/>
                <w:sz w:val="28"/>
                <w:szCs w:val="28"/>
              </w:rPr>
            </w:pPr>
          </w:p>
        </w:tc>
      </w:tr>
      <w:tr w14:paraId="3FBEC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96" w:hRule="atLeast"/>
        </w:trPr>
        <w:tc>
          <w:tcPr>
            <w:tcW w:w="2112" w:type="dxa"/>
            <w:noWrap w:val="0"/>
            <w:vAlign w:val="center"/>
          </w:tcPr>
          <w:p w14:paraId="4644D018">
            <w:pPr>
              <w:snapToGrid w:val="0"/>
              <w:spacing w:line="240" w:lineRule="atLeast"/>
              <w:jc w:val="center"/>
              <w:rPr>
                <w:rFonts w:eastAsia="仿宋"/>
                <w:color w:val="auto"/>
                <w:sz w:val="28"/>
                <w:szCs w:val="28"/>
              </w:rPr>
            </w:pPr>
            <w:r>
              <w:rPr>
                <w:rFonts w:eastAsia="仿宋"/>
                <w:color w:val="auto"/>
                <w:sz w:val="28"/>
                <w:szCs w:val="28"/>
              </w:rPr>
              <w:t>预警概要</w:t>
            </w:r>
          </w:p>
        </w:tc>
        <w:tc>
          <w:tcPr>
            <w:tcW w:w="6739" w:type="dxa"/>
            <w:gridSpan w:val="3"/>
            <w:noWrap w:val="0"/>
            <w:vAlign w:val="center"/>
          </w:tcPr>
          <w:p w14:paraId="0E081240">
            <w:pPr>
              <w:snapToGrid w:val="0"/>
              <w:spacing w:line="240" w:lineRule="atLeast"/>
              <w:jc w:val="center"/>
              <w:rPr>
                <w:rFonts w:eastAsia="仿宋"/>
                <w:color w:val="auto"/>
                <w:sz w:val="28"/>
                <w:szCs w:val="28"/>
              </w:rPr>
            </w:pPr>
          </w:p>
        </w:tc>
      </w:tr>
      <w:tr w14:paraId="5E7E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0" w:hRule="atLeast"/>
        </w:trPr>
        <w:tc>
          <w:tcPr>
            <w:tcW w:w="2112" w:type="dxa"/>
            <w:noWrap w:val="0"/>
            <w:vAlign w:val="center"/>
          </w:tcPr>
          <w:p w14:paraId="6C118660">
            <w:pPr>
              <w:snapToGrid w:val="0"/>
              <w:spacing w:line="240" w:lineRule="atLeast"/>
              <w:jc w:val="center"/>
              <w:rPr>
                <w:rFonts w:eastAsia="仿宋"/>
                <w:color w:val="auto"/>
                <w:sz w:val="28"/>
                <w:szCs w:val="28"/>
              </w:rPr>
            </w:pPr>
            <w:r>
              <w:rPr>
                <w:rFonts w:eastAsia="仿宋"/>
                <w:color w:val="auto"/>
                <w:sz w:val="28"/>
                <w:szCs w:val="28"/>
              </w:rPr>
              <w:t>预防措施及工作要求</w:t>
            </w:r>
          </w:p>
        </w:tc>
        <w:tc>
          <w:tcPr>
            <w:tcW w:w="6739" w:type="dxa"/>
            <w:gridSpan w:val="3"/>
            <w:noWrap w:val="0"/>
            <w:vAlign w:val="center"/>
          </w:tcPr>
          <w:p w14:paraId="501AB47C">
            <w:pPr>
              <w:snapToGrid w:val="0"/>
              <w:spacing w:line="240" w:lineRule="atLeast"/>
              <w:jc w:val="center"/>
              <w:rPr>
                <w:rFonts w:eastAsia="仿宋"/>
                <w:color w:val="auto"/>
                <w:sz w:val="28"/>
                <w:szCs w:val="28"/>
              </w:rPr>
            </w:pPr>
          </w:p>
        </w:tc>
      </w:tr>
    </w:tbl>
    <w:p w14:paraId="255BDA39">
      <w:pPr>
        <w:adjustRightInd w:val="0"/>
        <w:snapToGrid w:val="0"/>
        <w:spacing w:before="120" w:beforeLines="50" w:after="120" w:afterLines="50" w:line="360" w:lineRule="auto"/>
        <w:ind w:left="0"/>
        <w:jc w:val="center"/>
        <w:rPr>
          <w:rFonts w:eastAsia="仿宋"/>
          <w:color w:val="auto"/>
          <w:sz w:val="28"/>
          <w:szCs w:val="28"/>
        </w:rPr>
      </w:pPr>
      <w:r>
        <w:rPr>
          <w:rFonts w:eastAsia="仿宋"/>
          <w:b/>
          <w:color w:val="auto"/>
          <w:sz w:val="28"/>
          <w:szCs w:val="28"/>
        </w:rPr>
        <w:br w:type="page"/>
      </w:r>
      <w:r>
        <w:rPr>
          <w:rFonts w:eastAsia="仿宋"/>
          <w:color w:val="auto"/>
          <w:sz w:val="28"/>
          <w:szCs w:val="28"/>
        </w:rPr>
        <w:t>突发环境事件应急登记单</w:t>
      </w:r>
    </w:p>
    <w:tbl>
      <w:tblPr>
        <w:tblStyle w:val="21"/>
        <w:tblW w:w="484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5"/>
        <w:gridCol w:w="1375"/>
        <w:gridCol w:w="1377"/>
        <w:gridCol w:w="1377"/>
        <w:gridCol w:w="1377"/>
        <w:gridCol w:w="1375"/>
      </w:tblGrid>
      <w:tr w14:paraId="0AD7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833" w:type="pct"/>
            <w:noWrap w:val="0"/>
            <w:vAlign w:val="center"/>
          </w:tcPr>
          <w:p w14:paraId="3FF8F908">
            <w:pPr>
              <w:adjustRightInd w:val="0"/>
              <w:snapToGrid w:val="0"/>
              <w:spacing w:line="276" w:lineRule="auto"/>
              <w:ind w:left="0"/>
              <w:jc w:val="center"/>
              <w:rPr>
                <w:rFonts w:eastAsia="仿宋"/>
                <w:color w:val="auto"/>
                <w:sz w:val="28"/>
                <w:szCs w:val="28"/>
              </w:rPr>
            </w:pPr>
            <w:r>
              <w:rPr>
                <w:rFonts w:eastAsia="仿宋"/>
                <w:color w:val="auto"/>
                <w:sz w:val="28"/>
                <w:szCs w:val="28"/>
              </w:rPr>
              <w:t>接警人姓名</w:t>
            </w:r>
          </w:p>
        </w:tc>
        <w:tc>
          <w:tcPr>
            <w:tcW w:w="833" w:type="pct"/>
            <w:noWrap w:val="0"/>
            <w:vAlign w:val="center"/>
          </w:tcPr>
          <w:p w14:paraId="77DBDE48">
            <w:pPr>
              <w:adjustRightInd w:val="0"/>
              <w:snapToGrid w:val="0"/>
              <w:spacing w:line="276" w:lineRule="auto"/>
              <w:ind w:left="0"/>
              <w:jc w:val="center"/>
              <w:rPr>
                <w:rFonts w:eastAsia="仿宋"/>
                <w:color w:val="auto"/>
                <w:sz w:val="28"/>
                <w:szCs w:val="28"/>
              </w:rPr>
            </w:pPr>
          </w:p>
        </w:tc>
        <w:tc>
          <w:tcPr>
            <w:tcW w:w="834" w:type="pct"/>
            <w:noWrap w:val="0"/>
            <w:vAlign w:val="center"/>
          </w:tcPr>
          <w:p w14:paraId="7DEC74A0">
            <w:pPr>
              <w:adjustRightInd w:val="0"/>
              <w:snapToGrid w:val="0"/>
              <w:spacing w:line="276" w:lineRule="auto"/>
              <w:ind w:left="0"/>
              <w:jc w:val="center"/>
              <w:rPr>
                <w:rFonts w:eastAsia="仿宋"/>
                <w:color w:val="auto"/>
                <w:sz w:val="28"/>
                <w:szCs w:val="28"/>
              </w:rPr>
            </w:pPr>
            <w:r>
              <w:rPr>
                <w:rFonts w:eastAsia="仿宋"/>
                <w:color w:val="auto"/>
                <w:sz w:val="28"/>
                <w:szCs w:val="28"/>
              </w:rPr>
              <w:t>接警日期</w:t>
            </w:r>
          </w:p>
        </w:tc>
        <w:tc>
          <w:tcPr>
            <w:tcW w:w="834" w:type="pct"/>
            <w:noWrap w:val="0"/>
            <w:vAlign w:val="center"/>
          </w:tcPr>
          <w:p w14:paraId="5F5F9E57">
            <w:pPr>
              <w:adjustRightInd w:val="0"/>
              <w:snapToGrid w:val="0"/>
              <w:spacing w:line="276" w:lineRule="auto"/>
              <w:ind w:left="0"/>
              <w:jc w:val="center"/>
              <w:rPr>
                <w:rFonts w:eastAsia="仿宋"/>
                <w:color w:val="auto"/>
                <w:sz w:val="28"/>
                <w:szCs w:val="28"/>
              </w:rPr>
            </w:pPr>
          </w:p>
        </w:tc>
        <w:tc>
          <w:tcPr>
            <w:tcW w:w="834" w:type="pct"/>
            <w:noWrap w:val="0"/>
            <w:vAlign w:val="center"/>
          </w:tcPr>
          <w:p w14:paraId="7D25BA6B">
            <w:pPr>
              <w:adjustRightInd w:val="0"/>
              <w:snapToGrid w:val="0"/>
              <w:spacing w:line="276" w:lineRule="auto"/>
              <w:ind w:left="0"/>
              <w:jc w:val="center"/>
              <w:rPr>
                <w:rFonts w:eastAsia="仿宋"/>
                <w:color w:val="auto"/>
                <w:sz w:val="28"/>
                <w:szCs w:val="28"/>
              </w:rPr>
            </w:pPr>
            <w:r>
              <w:rPr>
                <w:rFonts w:eastAsia="仿宋"/>
                <w:color w:val="auto"/>
                <w:sz w:val="28"/>
                <w:szCs w:val="28"/>
              </w:rPr>
              <w:t>接警时间</w:t>
            </w:r>
          </w:p>
        </w:tc>
        <w:tc>
          <w:tcPr>
            <w:tcW w:w="832" w:type="pct"/>
            <w:noWrap w:val="0"/>
            <w:vAlign w:val="center"/>
          </w:tcPr>
          <w:p w14:paraId="54F981C6">
            <w:pPr>
              <w:adjustRightInd w:val="0"/>
              <w:snapToGrid w:val="0"/>
              <w:spacing w:line="276" w:lineRule="auto"/>
              <w:ind w:left="0"/>
              <w:jc w:val="center"/>
              <w:rPr>
                <w:rFonts w:eastAsia="仿宋"/>
                <w:color w:val="auto"/>
                <w:sz w:val="28"/>
                <w:szCs w:val="28"/>
              </w:rPr>
            </w:pPr>
          </w:p>
        </w:tc>
      </w:tr>
      <w:tr w14:paraId="13509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833" w:type="pct"/>
            <w:noWrap w:val="0"/>
            <w:vAlign w:val="center"/>
          </w:tcPr>
          <w:p w14:paraId="44F489B3">
            <w:pPr>
              <w:adjustRightInd w:val="0"/>
              <w:snapToGrid w:val="0"/>
              <w:spacing w:line="276" w:lineRule="auto"/>
              <w:ind w:left="0"/>
              <w:jc w:val="center"/>
              <w:rPr>
                <w:rFonts w:eastAsia="仿宋"/>
                <w:color w:val="auto"/>
                <w:sz w:val="28"/>
                <w:szCs w:val="28"/>
              </w:rPr>
            </w:pPr>
            <w:r>
              <w:rPr>
                <w:rFonts w:eastAsia="仿宋"/>
                <w:color w:val="auto"/>
                <w:sz w:val="28"/>
                <w:szCs w:val="28"/>
              </w:rPr>
              <w:t>报警人姓名</w:t>
            </w:r>
          </w:p>
        </w:tc>
        <w:tc>
          <w:tcPr>
            <w:tcW w:w="833" w:type="pct"/>
            <w:noWrap w:val="0"/>
            <w:vAlign w:val="center"/>
          </w:tcPr>
          <w:p w14:paraId="03960C99">
            <w:pPr>
              <w:adjustRightInd w:val="0"/>
              <w:snapToGrid w:val="0"/>
              <w:spacing w:line="276" w:lineRule="auto"/>
              <w:ind w:left="0"/>
              <w:jc w:val="center"/>
              <w:rPr>
                <w:rFonts w:eastAsia="仿宋"/>
                <w:color w:val="auto"/>
                <w:sz w:val="28"/>
                <w:szCs w:val="28"/>
              </w:rPr>
            </w:pPr>
          </w:p>
        </w:tc>
        <w:tc>
          <w:tcPr>
            <w:tcW w:w="834" w:type="pct"/>
            <w:noWrap w:val="0"/>
            <w:vAlign w:val="center"/>
          </w:tcPr>
          <w:p w14:paraId="0072C93C">
            <w:pPr>
              <w:adjustRightInd w:val="0"/>
              <w:snapToGrid w:val="0"/>
              <w:spacing w:line="276" w:lineRule="auto"/>
              <w:ind w:left="0"/>
              <w:jc w:val="center"/>
              <w:rPr>
                <w:rFonts w:eastAsia="仿宋"/>
                <w:color w:val="auto"/>
                <w:sz w:val="28"/>
                <w:szCs w:val="28"/>
              </w:rPr>
            </w:pPr>
            <w:r>
              <w:rPr>
                <w:rFonts w:eastAsia="仿宋"/>
                <w:color w:val="auto"/>
                <w:sz w:val="28"/>
                <w:szCs w:val="28"/>
              </w:rPr>
              <w:t>报警人单位</w:t>
            </w:r>
          </w:p>
        </w:tc>
        <w:tc>
          <w:tcPr>
            <w:tcW w:w="834" w:type="pct"/>
            <w:noWrap w:val="0"/>
            <w:vAlign w:val="center"/>
          </w:tcPr>
          <w:p w14:paraId="3E654F0C">
            <w:pPr>
              <w:adjustRightInd w:val="0"/>
              <w:snapToGrid w:val="0"/>
              <w:spacing w:line="276" w:lineRule="auto"/>
              <w:ind w:left="0"/>
              <w:jc w:val="center"/>
              <w:rPr>
                <w:rFonts w:eastAsia="仿宋"/>
                <w:color w:val="auto"/>
                <w:sz w:val="28"/>
                <w:szCs w:val="28"/>
              </w:rPr>
            </w:pPr>
          </w:p>
        </w:tc>
        <w:tc>
          <w:tcPr>
            <w:tcW w:w="834" w:type="pct"/>
            <w:noWrap w:val="0"/>
            <w:vAlign w:val="center"/>
          </w:tcPr>
          <w:p w14:paraId="34FD915E">
            <w:pPr>
              <w:adjustRightInd w:val="0"/>
              <w:snapToGrid w:val="0"/>
              <w:spacing w:line="276" w:lineRule="auto"/>
              <w:ind w:left="0"/>
              <w:jc w:val="center"/>
              <w:rPr>
                <w:rFonts w:eastAsia="仿宋"/>
                <w:color w:val="auto"/>
                <w:sz w:val="28"/>
                <w:szCs w:val="28"/>
              </w:rPr>
            </w:pPr>
            <w:r>
              <w:rPr>
                <w:rFonts w:eastAsia="仿宋"/>
                <w:color w:val="auto"/>
                <w:sz w:val="28"/>
                <w:szCs w:val="28"/>
              </w:rPr>
              <w:t>报警单位联系电话</w:t>
            </w:r>
          </w:p>
        </w:tc>
        <w:tc>
          <w:tcPr>
            <w:tcW w:w="832" w:type="pct"/>
            <w:noWrap w:val="0"/>
            <w:vAlign w:val="center"/>
          </w:tcPr>
          <w:p w14:paraId="3C2C34CB">
            <w:pPr>
              <w:adjustRightInd w:val="0"/>
              <w:snapToGrid w:val="0"/>
              <w:spacing w:line="276" w:lineRule="auto"/>
              <w:ind w:left="0"/>
              <w:jc w:val="center"/>
              <w:rPr>
                <w:rFonts w:eastAsia="仿宋"/>
                <w:color w:val="auto"/>
                <w:sz w:val="28"/>
                <w:szCs w:val="28"/>
              </w:rPr>
            </w:pPr>
          </w:p>
        </w:tc>
      </w:tr>
      <w:tr w14:paraId="2DEB9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833" w:type="pct"/>
            <w:noWrap w:val="0"/>
            <w:vAlign w:val="center"/>
          </w:tcPr>
          <w:p w14:paraId="728AE9B2">
            <w:pPr>
              <w:adjustRightInd w:val="0"/>
              <w:snapToGrid w:val="0"/>
              <w:spacing w:line="276" w:lineRule="auto"/>
              <w:ind w:left="0"/>
              <w:jc w:val="center"/>
              <w:rPr>
                <w:rFonts w:eastAsia="仿宋"/>
                <w:color w:val="auto"/>
                <w:sz w:val="28"/>
                <w:szCs w:val="28"/>
              </w:rPr>
            </w:pPr>
            <w:r>
              <w:rPr>
                <w:rFonts w:eastAsia="仿宋"/>
                <w:color w:val="auto"/>
                <w:sz w:val="28"/>
                <w:szCs w:val="28"/>
              </w:rPr>
              <w:t>应急事件类型</w:t>
            </w:r>
          </w:p>
        </w:tc>
        <w:tc>
          <w:tcPr>
            <w:tcW w:w="833" w:type="pct"/>
            <w:noWrap w:val="0"/>
            <w:vAlign w:val="center"/>
          </w:tcPr>
          <w:p w14:paraId="6611EAA0">
            <w:pPr>
              <w:adjustRightInd w:val="0"/>
              <w:snapToGrid w:val="0"/>
              <w:spacing w:line="276" w:lineRule="auto"/>
              <w:ind w:left="0"/>
              <w:jc w:val="center"/>
              <w:rPr>
                <w:rFonts w:eastAsia="仿宋"/>
                <w:color w:val="auto"/>
                <w:sz w:val="28"/>
                <w:szCs w:val="28"/>
              </w:rPr>
            </w:pPr>
          </w:p>
        </w:tc>
        <w:tc>
          <w:tcPr>
            <w:tcW w:w="834" w:type="pct"/>
            <w:noWrap w:val="0"/>
            <w:vAlign w:val="center"/>
          </w:tcPr>
          <w:p w14:paraId="5C3C853D">
            <w:pPr>
              <w:adjustRightInd w:val="0"/>
              <w:snapToGrid w:val="0"/>
              <w:spacing w:line="276" w:lineRule="auto"/>
              <w:ind w:left="0"/>
              <w:jc w:val="center"/>
              <w:rPr>
                <w:rFonts w:eastAsia="仿宋"/>
                <w:color w:val="auto"/>
                <w:sz w:val="28"/>
                <w:szCs w:val="28"/>
              </w:rPr>
            </w:pPr>
            <w:r>
              <w:rPr>
                <w:rFonts w:eastAsia="仿宋"/>
                <w:color w:val="auto"/>
                <w:sz w:val="28"/>
                <w:szCs w:val="28"/>
              </w:rPr>
              <w:t>应急事件发生时间</w:t>
            </w:r>
          </w:p>
        </w:tc>
        <w:tc>
          <w:tcPr>
            <w:tcW w:w="834" w:type="pct"/>
            <w:noWrap w:val="0"/>
            <w:vAlign w:val="center"/>
          </w:tcPr>
          <w:p w14:paraId="7EAB94E0">
            <w:pPr>
              <w:adjustRightInd w:val="0"/>
              <w:snapToGrid w:val="0"/>
              <w:spacing w:line="276" w:lineRule="auto"/>
              <w:ind w:left="0"/>
              <w:jc w:val="center"/>
              <w:rPr>
                <w:rFonts w:eastAsia="仿宋"/>
                <w:color w:val="auto"/>
                <w:sz w:val="28"/>
                <w:szCs w:val="28"/>
              </w:rPr>
            </w:pPr>
          </w:p>
        </w:tc>
        <w:tc>
          <w:tcPr>
            <w:tcW w:w="834" w:type="pct"/>
            <w:noWrap w:val="0"/>
            <w:vAlign w:val="center"/>
          </w:tcPr>
          <w:p w14:paraId="2A6DC723">
            <w:pPr>
              <w:adjustRightInd w:val="0"/>
              <w:snapToGrid w:val="0"/>
              <w:spacing w:line="276" w:lineRule="auto"/>
              <w:ind w:left="0"/>
              <w:jc w:val="center"/>
              <w:rPr>
                <w:rFonts w:eastAsia="仿宋"/>
                <w:color w:val="auto"/>
                <w:sz w:val="28"/>
                <w:szCs w:val="28"/>
              </w:rPr>
            </w:pPr>
            <w:r>
              <w:rPr>
                <w:rFonts w:eastAsia="仿宋"/>
                <w:color w:val="auto"/>
                <w:sz w:val="28"/>
                <w:szCs w:val="28"/>
              </w:rPr>
              <w:t>应急事件发生地点</w:t>
            </w:r>
          </w:p>
        </w:tc>
        <w:tc>
          <w:tcPr>
            <w:tcW w:w="832" w:type="pct"/>
            <w:noWrap w:val="0"/>
            <w:vAlign w:val="center"/>
          </w:tcPr>
          <w:p w14:paraId="2E42FDA5">
            <w:pPr>
              <w:adjustRightInd w:val="0"/>
              <w:snapToGrid w:val="0"/>
              <w:spacing w:line="276" w:lineRule="auto"/>
              <w:ind w:left="0"/>
              <w:jc w:val="center"/>
              <w:rPr>
                <w:rFonts w:eastAsia="仿宋"/>
                <w:color w:val="auto"/>
                <w:sz w:val="28"/>
                <w:szCs w:val="28"/>
              </w:rPr>
            </w:pPr>
          </w:p>
        </w:tc>
      </w:tr>
      <w:tr w14:paraId="3B941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9" w:hRule="atLeast"/>
        </w:trPr>
        <w:tc>
          <w:tcPr>
            <w:tcW w:w="833" w:type="pct"/>
            <w:noWrap w:val="0"/>
            <w:vAlign w:val="center"/>
          </w:tcPr>
          <w:p w14:paraId="44D6D2E4">
            <w:pPr>
              <w:adjustRightInd w:val="0"/>
              <w:snapToGrid w:val="0"/>
              <w:spacing w:line="276" w:lineRule="auto"/>
              <w:ind w:left="0"/>
              <w:jc w:val="center"/>
              <w:rPr>
                <w:rFonts w:eastAsia="仿宋"/>
                <w:color w:val="auto"/>
                <w:sz w:val="28"/>
                <w:szCs w:val="28"/>
              </w:rPr>
            </w:pPr>
            <w:r>
              <w:rPr>
                <w:rFonts w:eastAsia="仿宋"/>
                <w:color w:val="auto"/>
                <w:sz w:val="28"/>
                <w:szCs w:val="28"/>
              </w:rPr>
              <w:t>应急事件发生的地点、性质、范围、严重程度</w:t>
            </w:r>
          </w:p>
        </w:tc>
        <w:tc>
          <w:tcPr>
            <w:tcW w:w="833" w:type="pct"/>
            <w:noWrap w:val="0"/>
            <w:vAlign w:val="center"/>
          </w:tcPr>
          <w:p w14:paraId="43DEF572">
            <w:pPr>
              <w:adjustRightInd w:val="0"/>
              <w:snapToGrid w:val="0"/>
              <w:spacing w:line="276" w:lineRule="auto"/>
              <w:ind w:left="0"/>
              <w:jc w:val="center"/>
              <w:rPr>
                <w:rFonts w:eastAsia="仿宋"/>
                <w:color w:val="auto"/>
                <w:sz w:val="28"/>
                <w:szCs w:val="28"/>
              </w:rPr>
            </w:pPr>
          </w:p>
        </w:tc>
        <w:tc>
          <w:tcPr>
            <w:tcW w:w="834" w:type="pct"/>
            <w:noWrap w:val="0"/>
            <w:vAlign w:val="center"/>
          </w:tcPr>
          <w:p w14:paraId="56E969C3">
            <w:pPr>
              <w:adjustRightInd w:val="0"/>
              <w:snapToGrid w:val="0"/>
              <w:spacing w:line="276" w:lineRule="auto"/>
              <w:ind w:left="0"/>
              <w:jc w:val="center"/>
              <w:rPr>
                <w:rFonts w:eastAsia="仿宋"/>
                <w:color w:val="auto"/>
                <w:sz w:val="28"/>
                <w:szCs w:val="28"/>
              </w:rPr>
            </w:pPr>
          </w:p>
        </w:tc>
        <w:tc>
          <w:tcPr>
            <w:tcW w:w="834" w:type="pct"/>
            <w:noWrap w:val="0"/>
            <w:vAlign w:val="center"/>
          </w:tcPr>
          <w:p w14:paraId="12CDEE5B">
            <w:pPr>
              <w:adjustRightInd w:val="0"/>
              <w:snapToGrid w:val="0"/>
              <w:spacing w:line="276" w:lineRule="auto"/>
              <w:ind w:left="0"/>
              <w:jc w:val="center"/>
              <w:rPr>
                <w:rFonts w:eastAsia="仿宋"/>
                <w:color w:val="auto"/>
                <w:sz w:val="28"/>
                <w:szCs w:val="28"/>
              </w:rPr>
            </w:pPr>
          </w:p>
        </w:tc>
        <w:tc>
          <w:tcPr>
            <w:tcW w:w="834" w:type="pct"/>
            <w:noWrap w:val="0"/>
            <w:vAlign w:val="center"/>
          </w:tcPr>
          <w:p w14:paraId="756037B6">
            <w:pPr>
              <w:adjustRightInd w:val="0"/>
              <w:snapToGrid w:val="0"/>
              <w:spacing w:line="276" w:lineRule="auto"/>
              <w:ind w:left="0"/>
              <w:jc w:val="center"/>
              <w:rPr>
                <w:rFonts w:eastAsia="仿宋"/>
                <w:color w:val="auto"/>
                <w:sz w:val="28"/>
                <w:szCs w:val="28"/>
              </w:rPr>
            </w:pPr>
          </w:p>
        </w:tc>
        <w:tc>
          <w:tcPr>
            <w:tcW w:w="832" w:type="pct"/>
            <w:noWrap w:val="0"/>
            <w:vAlign w:val="center"/>
          </w:tcPr>
          <w:p w14:paraId="7ECB48B3">
            <w:pPr>
              <w:adjustRightInd w:val="0"/>
              <w:snapToGrid w:val="0"/>
              <w:spacing w:line="276" w:lineRule="auto"/>
              <w:ind w:left="0"/>
              <w:jc w:val="center"/>
              <w:rPr>
                <w:rFonts w:eastAsia="仿宋"/>
                <w:color w:val="auto"/>
                <w:sz w:val="28"/>
                <w:szCs w:val="28"/>
              </w:rPr>
            </w:pPr>
          </w:p>
        </w:tc>
      </w:tr>
      <w:tr w14:paraId="1E360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833" w:type="pct"/>
            <w:noWrap w:val="0"/>
            <w:vAlign w:val="center"/>
          </w:tcPr>
          <w:p w14:paraId="2929A718">
            <w:pPr>
              <w:adjustRightInd w:val="0"/>
              <w:snapToGrid w:val="0"/>
              <w:spacing w:line="276" w:lineRule="auto"/>
              <w:ind w:left="0"/>
              <w:jc w:val="center"/>
              <w:rPr>
                <w:rFonts w:eastAsia="仿宋"/>
                <w:color w:val="auto"/>
                <w:sz w:val="28"/>
                <w:szCs w:val="28"/>
              </w:rPr>
            </w:pPr>
            <w:r>
              <w:rPr>
                <w:rFonts w:eastAsia="仿宋"/>
                <w:color w:val="auto"/>
                <w:sz w:val="28"/>
                <w:szCs w:val="28"/>
              </w:rPr>
              <w:t>突发事件已造成的影响和发展趋势</w:t>
            </w:r>
          </w:p>
        </w:tc>
        <w:tc>
          <w:tcPr>
            <w:tcW w:w="833" w:type="pct"/>
            <w:noWrap w:val="0"/>
            <w:vAlign w:val="center"/>
          </w:tcPr>
          <w:p w14:paraId="4EDA11B0">
            <w:pPr>
              <w:adjustRightInd w:val="0"/>
              <w:snapToGrid w:val="0"/>
              <w:spacing w:line="276" w:lineRule="auto"/>
              <w:ind w:left="0"/>
              <w:jc w:val="center"/>
              <w:rPr>
                <w:rFonts w:eastAsia="仿宋"/>
                <w:color w:val="auto"/>
                <w:sz w:val="28"/>
                <w:szCs w:val="28"/>
              </w:rPr>
            </w:pPr>
          </w:p>
        </w:tc>
        <w:tc>
          <w:tcPr>
            <w:tcW w:w="834" w:type="pct"/>
            <w:noWrap w:val="0"/>
            <w:vAlign w:val="center"/>
          </w:tcPr>
          <w:p w14:paraId="66FE6791">
            <w:pPr>
              <w:adjustRightInd w:val="0"/>
              <w:snapToGrid w:val="0"/>
              <w:spacing w:line="276" w:lineRule="auto"/>
              <w:ind w:left="0"/>
              <w:jc w:val="center"/>
              <w:rPr>
                <w:rFonts w:eastAsia="仿宋"/>
                <w:color w:val="auto"/>
                <w:sz w:val="28"/>
                <w:szCs w:val="28"/>
              </w:rPr>
            </w:pPr>
          </w:p>
        </w:tc>
        <w:tc>
          <w:tcPr>
            <w:tcW w:w="834" w:type="pct"/>
            <w:noWrap w:val="0"/>
            <w:vAlign w:val="center"/>
          </w:tcPr>
          <w:p w14:paraId="7D5CD150">
            <w:pPr>
              <w:adjustRightInd w:val="0"/>
              <w:snapToGrid w:val="0"/>
              <w:spacing w:line="276" w:lineRule="auto"/>
              <w:ind w:left="0"/>
              <w:jc w:val="center"/>
              <w:rPr>
                <w:rFonts w:eastAsia="仿宋"/>
                <w:color w:val="auto"/>
                <w:sz w:val="28"/>
                <w:szCs w:val="28"/>
              </w:rPr>
            </w:pPr>
          </w:p>
        </w:tc>
        <w:tc>
          <w:tcPr>
            <w:tcW w:w="834" w:type="pct"/>
            <w:noWrap w:val="0"/>
            <w:vAlign w:val="center"/>
          </w:tcPr>
          <w:p w14:paraId="1D2C039B">
            <w:pPr>
              <w:adjustRightInd w:val="0"/>
              <w:snapToGrid w:val="0"/>
              <w:spacing w:line="276" w:lineRule="auto"/>
              <w:ind w:left="0"/>
              <w:jc w:val="center"/>
              <w:rPr>
                <w:rFonts w:eastAsia="仿宋"/>
                <w:color w:val="auto"/>
                <w:sz w:val="28"/>
                <w:szCs w:val="28"/>
              </w:rPr>
            </w:pPr>
          </w:p>
        </w:tc>
        <w:tc>
          <w:tcPr>
            <w:tcW w:w="832" w:type="pct"/>
            <w:noWrap w:val="0"/>
            <w:vAlign w:val="center"/>
          </w:tcPr>
          <w:p w14:paraId="5E35E5F2">
            <w:pPr>
              <w:adjustRightInd w:val="0"/>
              <w:snapToGrid w:val="0"/>
              <w:spacing w:line="276" w:lineRule="auto"/>
              <w:ind w:left="0"/>
              <w:jc w:val="center"/>
              <w:rPr>
                <w:rFonts w:eastAsia="仿宋"/>
                <w:color w:val="auto"/>
                <w:sz w:val="28"/>
                <w:szCs w:val="28"/>
              </w:rPr>
            </w:pPr>
          </w:p>
        </w:tc>
      </w:tr>
      <w:tr w14:paraId="6E36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5" w:hRule="atLeast"/>
        </w:trPr>
        <w:tc>
          <w:tcPr>
            <w:tcW w:w="833" w:type="pct"/>
            <w:noWrap w:val="0"/>
            <w:vAlign w:val="center"/>
          </w:tcPr>
          <w:p w14:paraId="38B5FFB6">
            <w:pPr>
              <w:adjustRightInd w:val="0"/>
              <w:snapToGrid w:val="0"/>
              <w:spacing w:line="276" w:lineRule="auto"/>
              <w:ind w:left="0"/>
              <w:jc w:val="center"/>
              <w:rPr>
                <w:rFonts w:eastAsia="仿宋"/>
                <w:color w:val="auto"/>
                <w:sz w:val="28"/>
                <w:szCs w:val="28"/>
              </w:rPr>
            </w:pPr>
            <w:r>
              <w:rPr>
                <w:rFonts w:eastAsia="仿宋"/>
                <w:color w:val="auto"/>
                <w:sz w:val="28"/>
                <w:szCs w:val="28"/>
              </w:rPr>
              <w:t>已采取控制措施及效果</w:t>
            </w:r>
          </w:p>
        </w:tc>
        <w:tc>
          <w:tcPr>
            <w:tcW w:w="833" w:type="pct"/>
            <w:noWrap w:val="0"/>
            <w:vAlign w:val="center"/>
          </w:tcPr>
          <w:p w14:paraId="1DDAD904">
            <w:pPr>
              <w:adjustRightInd w:val="0"/>
              <w:snapToGrid w:val="0"/>
              <w:spacing w:line="276" w:lineRule="auto"/>
              <w:ind w:left="0"/>
              <w:jc w:val="center"/>
              <w:rPr>
                <w:rFonts w:eastAsia="仿宋"/>
                <w:color w:val="auto"/>
                <w:sz w:val="28"/>
                <w:szCs w:val="28"/>
              </w:rPr>
            </w:pPr>
          </w:p>
        </w:tc>
        <w:tc>
          <w:tcPr>
            <w:tcW w:w="834" w:type="pct"/>
            <w:noWrap w:val="0"/>
            <w:vAlign w:val="center"/>
          </w:tcPr>
          <w:p w14:paraId="1EB645F0">
            <w:pPr>
              <w:adjustRightInd w:val="0"/>
              <w:snapToGrid w:val="0"/>
              <w:spacing w:line="276" w:lineRule="auto"/>
              <w:ind w:left="0"/>
              <w:jc w:val="center"/>
              <w:rPr>
                <w:rFonts w:eastAsia="仿宋"/>
                <w:color w:val="auto"/>
                <w:sz w:val="28"/>
                <w:szCs w:val="28"/>
              </w:rPr>
            </w:pPr>
          </w:p>
        </w:tc>
        <w:tc>
          <w:tcPr>
            <w:tcW w:w="834" w:type="pct"/>
            <w:noWrap w:val="0"/>
            <w:vAlign w:val="center"/>
          </w:tcPr>
          <w:p w14:paraId="13AD6261">
            <w:pPr>
              <w:adjustRightInd w:val="0"/>
              <w:snapToGrid w:val="0"/>
              <w:spacing w:line="276" w:lineRule="auto"/>
              <w:ind w:left="0"/>
              <w:jc w:val="center"/>
              <w:rPr>
                <w:rFonts w:eastAsia="仿宋"/>
                <w:color w:val="auto"/>
                <w:sz w:val="28"/>
                <w:szCs w:val="28"/>
              </w:rPr>
            </w:pPr>
          </w:p>
        </w:tc>
        <w:tc>
          <w:tcPr>
            <w:tcW w:w="834" w:type="pct"/>
            <w:noWrap w:val="0"/>
            <w:vAlign w:val="center"/>
          </w:tcPr>
          <w:p w14:paraId="343A5D70">
            <w:pPr>
              <w:adjustRightInd w:val="0"/>
              <w:snapToGrid w:val="0"/>
              <w:spacing w:line="276" w:lineRule="auto"/>
              <w:ind w:left="0"/>
              <w:jc w:val="center"/>
              <w:rPr>
                <w:rFonts w:eastAsia="仿宋"/>
                <w:color w:val="auto"/>
                <w:sz w:val="28"/>
                <w:szCs w:val="28"/>
              </w:rPr>
            </w:pPr>
          </w:p>
        </w:tc>
        <w:tc>
          <w:tcPr>
            <w:tcW w:w="832" w:type="pct"/>
            <w:noWrap w:val="0"/>
            <w:vAlign w:val="center"/>
          </w:tcPr>
          <w:p w14:paraId="582B100C">
            <w:pPr>
              <w:adjustRightInd w:val="0"/>
              <w:snapToGrid w:val="0"/>
              <w:spacing w:line="276" w:lineRule="auto"/>
              <w:ind w:left="0"/>
              <w:jc w:val="center"/>
              <w:rPr>
                <w:rFonts w:eastAsia="仿宋"/>
                <w:color w:val="auto"/>
                <w:sz w:val="28"/>
                <w:szCs w:val="28"/>
              </w:rPr>
            </w:pPr>
          </w:p>
        </w:tc>
      </w:tr>
      <w:tr w14:paraId="271E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833" w:type="pct"/>
            <w:noWrap w:val="0"/>
            <w:vAlign w:val="center"/>
          </w:tcPr>
          <w:p w14:paraId="592402AC">
            <w:pPr>
              <w:adjustRightInd w:val="0"/>
              <w:snapToGrid w:val="0"/>
              <w:spacing w:line="276" w:lineRule="auto"/>
              <w:ind w:left="0"/>
              <w:jc w:val="center"/>
              <w:rPr>
                <w:rFonts w:eastAsia="仿宋"/>
                <w:color w:val="auto"/>
                <w:sz w:val="28"/>
                <w:szCs w:val="28"/>
              </w:rPr>
            </w:pPr>
            <w:r>
              <w:rPr>
                <w:rFonts w:eastAsia="仿宋"/>
                <w:color w:val="auto"/>
                <w:sz w:val="28"/>
                <w:szCs w:val="28"/>
              </w:rPr>
              <w:t>备注</w:t>
            </w:r>
          </w:p>
        </w:tc>
        <w:tc>
          <w:tcPr>
            <w:tcW w:w="833" w:type="pct"/>
            <w:noWrap w:val="0"/>
            <w:vAlign w:val="center"/>
          </w:tcPr>
          <w:p w14:paraId="069579E3">
            <w:pPr>
              <w:adjustRightInd w:val="0"/>
              <w:snapToGrid w:val="0"/>
              <w:spacing w:line="276" w:lineRule="auto"/>
              <w:ind w:left="0"/>
              <w:jc w:val="center"/>
              <w:rPr>
                <w:rFonts w:eastAsia="仿宋"/>
                <w:color w:val="auto"/>
                <w:sz w:val="28"/>
                <w:szCs w:val="28"/>
              </w:rPr>
            </w:pPr>
          </w:p>
        </w:tc>
        <w:tc>
          <w:tcPr>
            <w:tcW w:w="834" w:type="pct"/>
            <w:noWrap w:val="0"/>
            <w:vAlign w:val="center"/>
          </w:tcPr>
          <w:p w14:paraId="7FBC7991">
            <w:pPr>
              <w:adjustRightInd w:val="0"/>
              <w:snapToGrid w:val="0"/>
              <w:spacing w:line="276" w:lineRule="auto"/>
              <w:ind w:left="0"/>
              <w:jc w:val="center"/>
              <w:rPr>
                <w:rFonts w:eastAsia="仿宋"/>
                <w:color w:val="auto"/>
                <w:sz w:val="28"/>
                <w:szCs w:val="28"/>
              </w:rPr>
            </w:pPr>
          </w:p>
        </w:tc>
        <w:tc>
          <w:tcPr>
            <w:tcW w:w="834" w:type="pct"/>
            <w:noWrap w:val="0"/>
            <w:vAlign w:val="center"/>
          </w:tcPr>
          <w:p w14:paraId="33696F02">
            <w:pPr>
              <w:adjustRightInd w:val="0"/>
              <w:snapToGrid w:val="0"/>
              <w:spacing w:line="276" w:lineRule="auto"/>
              <w:ind w:left="0"/>
              <w:jc w:val="center"/>
              <w:rPr>
                <w:rFonts w:eastAsia="仿宋"/>
                <w:color w:val="auto"/>
                <w:sz w:val="28"/>
                <w:szCs w:val="28"/>
              </w:rPr>
            </w:pPr>
          </w:p>
        </w:tc>
        <w:tc>
          <w:tcPr>
            <w:tcW w:w="834" w:type="pct"/>
            <w:noWrap w:val="0"/>
            <w:vAlign w:val="center"/>
          </w:tcPr>
          <w:p w14:paraId="7166AB44">
            <w:pPr>
              <w:adjustRightInd w:val="0"/>
              <w:snapToGrid w:val="0"/>
              <w:spacing w:line="276" w:lineRule="auto"/>
              <w:ind w:left="0"/>
              <w:jc w:val="center"/>
              <w:rPr>
                <w:rFonts w:eastAsia="仿宋"/>
                <w:color w:val="auto"/>
                <w:sz w:val="28"/>
                <w:szCs w:val="28"/>
              </w:rPr>
            </w:pPr>
          </w:p>
        </w:tc>
        <w:tc>
          <w:tcPr>
            <w:tcW w:w="832" w:type="pct"/>
            <w:noWrap w:val="0"/>
            <w:vAlign w:val="center"/>
          </w:tcPr>
          <w:p w14:paraId="43EEC59C">
            <w:pPr>
              <w:adjustRightInd w:val="0"/>
              <w:snapToGrid w:val="0"/>
              <w:spacing w:line="276" w:lineRule="auto"/>
              <w:ind w:left="0"/>
              <w:jc w:val="center"/>
              <w:rPr>
                <w:rFonts w:eastAsia="仿宋"/>
                <w:color w:val="auto"/>
                <w:sz w:val="28"/>
                <w:szCs w:val="28"/>
              </w:rPr>
            </w:pPr>
          </w:p>
        </w:tc>
      </w:tr>
    </w:tbl>
    <w:p w14:paraId="255717CC">
      <w:pPr>
        <w:jc w:val="left"/>
        <w:rPr>
          <w:rFonts w:eastAsia="仿宋"/>
          <w:color w:val="auto"/>
          <w:sz w:val="24"/>
          <w:szCs w:val="24"/>
        </w:rPr>
      </w:pPr>
    </w:p>
    <w:p w14:paraId="04825001">
      <w:pPr>
        <w:adjustRightInd w:val="0"/>
        <w:snapToGrid w:val="0"/>
        <w:spacing w:line="360" w:lineRule="auto"/>
        <w:ind w:left="0"/>
        <w:jc w:val="center"/>
        <w:rPr>
          <w:rFonts w:eastAsia="仿宋"/>
          <w:color w:val="auto"/>
          <w:sz w:val="28"/>
          <w:szCs w:val="28"/>
        </w:rPr>
      </w:pPr>
      <w:r>
        <w:rPr>
          <w:rFonts w:eastAsia="仿宋"/>
          <w:b/>
          <w:color w:val="auto"/>
          <w:sz w:val="28"/>
          <w:szCs w:val="28"/>
        </w:rPr>
        <w:br w:type="page"/>
      </w:r>
      <w:r>
        <w:rPr>
          <w:rFonts w:eastAsia="仿宋"/>
          <w:color w:val="auto"/>
          <w:sz w:val="28"/>
          <w:szCs w:val="28"/>
        </w:rPr>
        <w:t>突发环境污染事件报告单</w:t>
      </w:r>
    </w:p>
    <w:tbl>
      <w:tblPr>
        <w:tblStyle w:val="21"/>
        <w:tblW w:w="48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8"/>
        <w:gridCol w:w="2088"/>
        <w:gridCol w:w="2088"/>
        <w:gridCol w:w="2089"/>
      </w:tblGrid>
      <w:tr w14:paraId="67A7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50" w:type="pct"/>
            <w:noWrap w:val="0"/>
            <w:vAlign w:val="center"/>
          </w:tcPr>
          <w:p w14:paraId="6543A739">
            <w:pPr>
              <w:jc w:val="center"/>
              <w:rPr>
                <w:rFonts w:eastAsia="仿宋"/>
                <w:color w:val="auto"/>
                <w:sz w:val="28"/>
                <w:szCs w:val="28"/>
              </w:rPr>
            </w:pPr>
            <w:r>
              <w:rPr>
                <w:rFonts w:eastAsia="仿宋"/>
                <w:color w:val="auto"/>
                <w:sz w:val="28"/>
                <w:szCs w:val="28"/>
              </w:rPr>
              <w:t>事件发生单位</w:t>
            </w:r>
          </w:p>
        </w:tc>
        <w:tc>
          <w:tcPr>
            <w:tcW w:w="1250" w:type="pct"/>
            <w:noWrap w:val="0"/>
            <w:vAlign w:val="center"/>
          </w:tcPr>
          <w:p w14:paraId="43D61109">
            <w:pPr>
              <w:jc w:val="center"/>
              <w:rPr>
                <w:rFonts w:eastAsia="仿宋"/>
                <w:color w:val="auto"/>
                <w:sz w:val="28"/>
                <w:szCs w:val="28"/>
              </w:rPr>
            </w:pPr>
          </w:p>
        </w:tc>
        <w:tc>
          <w:tcPr>
            <w:tcW w:w="1250" w:type="pct"/>
            <w:noWrap w:val="0"/>
            <w:vAlign w:val="center"/>
          </w:tcPr>
          <w:p w14:paraId="5B6E33C6">
            <w:pPr>
              <w:jc w:val="center"/>
              <w:rPr>
                <w:rFonts w:eastAsia="仿宋"/>
                <w:color w:val="auto"/>
                <w:sz w:val="28"/>
                <w:szCs w:val="28"/>
              </w:rPr>
            </w:pPr>
            <w:r>
              <w:rPr>
                <w:rFonts w:eastAsia="仿宋"/>
                <w:color w:val="auto"/>
                <w:sz w:val="28"/>
                <w:szCs w:val="28"/>
              </w:rPr>
              <w:t>事件时间</w:t>
            </w:r>
          </w:p>
        </w:tc>
        <w:tc>
          <w:tcPr>
            <w:tcW w:w="1249" w:type="pct"/>
            <w:noWrap w:val="0"/>
            <w:vAlign w:val="center"/>
          </w:tcPr>
          <w:p w14:paraId="6191BBA8">
            <w:pPr>
              <w:jc w:val="center"/>
              <w:rPr>
                <w:rFonts w:eastAsia="仿宋"/>
                <w:color w:val="auto"/>
                <w:sz w:val="28"/>
                <w:szCs w:val="28"/>
              </w:rPr>
            </w:pPr>
          </w:p>
        </w:tc>
      </w:tr>
      <w:tr w14:paraId="65A5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50" w:type="pct"/>
            <w:noWrap w:val="0"/>
            <w:vAlign w:val="center"/>
          </w:tcPr>
          <w:p w14:paraId="1C3C82F9">
            <w:pPr>
              <w:jc w:val="center"/>
              <w:rPr>
                <w:rFonts w:eastAsia="仿宋"/>
                <w:color w:val="auto"/>
                <w:sz w:val="28"/>
                <w:szCs w:val="28"/>
              </w:rPr>
            </w:pPr>
            <w:r>
              <w:rPr>
                <w:rFonts w:eastAsia="仿宋"/>
                <w:color w:val="auto"/>
                <w:sz w:val="28"/>
                <w:szCs w:val="28"/>
              </w:rPr>
              <w:t>事件简题</w:t>
            </w:r>
          </w:p>
        </w:tc>
        <w:tc>
          <w:tcPr>
            <w:tcW w:w="1250" w:type="pct"/>
            <w:noWrap w:val="0"/>
            <w:vAlign w:val="center"/>
          </w:tcPr>
          <w:p w14:paraId="13260CA3">
            <w:pPr>
              <w:jc w:val="center"/>
              <w:rPr>
                <w:rFonts w:eastAsia="仿宋"/>
                <w:color w:val="auto"/>
                <w:sz w:val="28"/>
                <w:szCs w:val="28"/>
              </w:rPr>
            </w:pPr>
          </w:p>
        </w:tc>
        <w:tc>
          <w:tcPr>
            <w:tcW w:w="1250" w:type="pct"/>
            <w:noWrap w:val="0"/>
            <w:vAlign w:val="center"/>
          </w:tcPr>
          <w:p w14:paraId="4249BA84">
            <w:pPr>
              <w:jc w:val="center"/>
              <w:rPr>
                <w:rFonts w:eastAsia="仿宋"/>
                <w:color w:val="auto"/>
                <w:sz w:val="28"/>
                <w:szCs w:val="28"/>
              </w:rPr>
            </w:pPr>
          </w:p>
        </w:tc>
        <w:tc>
          <w:tcPr>
            <w:tcW w:w="1249" w:type="pct"/>
            <w:noWrap w:val="0"/>
            <w:vAlign w:val="center"/>
          </w:tcPr>
          <w:p w14:paraId="4562B069">
            <w:pPr>
              <w:jc w:val="center"/>
              <w:rPr>
                <w:rFonts w:eastAsia="仿宋"/>
                <w:color w:val="auto"/>
                <w:sz w:val="28"/>
                <w:szCs w:val="28"/>
              </w:rPr>
            </w:pPr>
          </w:p>
        </w:tc>
      </w:tr>
      <w:tr w14:paraId="2102A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6" w:hRule="atLeast"/>
        </w:trPr>
        <w:tc>
          <w:tcPr>
            <w:tcW w:w="5000" w:type="pct"/>
            <w:gridSpan w:val="4"/>
            <w:noWrap w:val="0"/>
            <w:vAlign w:val="top"/>
          </w:tcPr>
          <w:p w14:paraId="704E7C9B">
            <w:pPr>
              <w:jc w:val="center"/>
              <w:rPr>
                <w:rFonts w:eastAsia="仿宋"/>
                <w:color w:val="auto"/>
                <w:sz w:val="28"/>
                <w:szCs w:val="28"/>
              </w:rPr>
            </w:pPr>
            <w:r>
              <w:rPr>
                <w:rFonts w:eastAsia="仿宋"/>
                <w:color w:val="auto"/>
                <w:sz w:val="28"/>
                <w:szCs w:val="28"/>
              </w:rPr>
              <w:t>基本经过（事件发生、扩大和采取的措施、初步原因判断）</w:t>
            </w:r>
          </w:p>
        </w:tc>
      </w:tr>
      <w:tr w14:paraId="63726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80" w:hRule="atLeast"/>
        </w:trPr>
        <w:tc>
          <w:tcPr>
            <w:tcW w:w="5000" w:type="pct"/>
            <w:gridSpan w:val="4"/>
            <w:noWrap w:val="0"/>
            <w:vAlign w:val="top"/>
          </w:tcPr>
          <w:p w14:paraId="3750AE31">
            <w:pPr>
              <w:rPr>
                <w:rFonts w:eastAsia="仿宋"/>
                <w:color w:val="auto"/>
                <w:sz w:val="28"/>
                <w:szCs w:val="28"/>
              </w:rPr>
            </w:pPr>
            <w:r>
              <w:rPr>
                <w:rFonts w:eastAsia="仿宋"/>
                <w:color w:val="auto"/>
                <w:sz w:val="28"/>
                <w:szCs w:val="28"/>
              </w:rPr>
              <w:t>事件后果（环境污染程度、财产损失或可能造成的社会不良影响等）的初步估计</w:t>
            </w:r>
          </w:p>
        </w:tc>
      </w:tr>
      <w:tr w14:paraId="5BCD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50" w:type="pct"/>
            <w:noWrap w:val="0"/>
            <w:vAlign w:val="center"/>
          </w:tcPr>
          <w:p w14:paraId="66DE7D3C">
            <w:pPr>
              <w:jc w:val="center"/>
              <w:rPr>
                <w:rFonts w:eastAsia="仿宋"/>
                <w:color w:val="auto"/>
                <w:sz w:val="28"/>
                <w:szCs w:val="28"/>
              </w:rPr>
            </w:pPr>
            <w:r>
              <w:rPr>
                <w:rFonts w:eastAsia="仿宋"/>
                <w:color w:val="auto"/>
                <w:sz w:val="28"/>
                <w:szCs w:val="28"/>
              </w:rPr>
              <w:t>填报人姓名</w:t>
            </w:r>
          </w:p>
        </w:tc>
        <w:tc>
          <w:tcPr>
            <w:tcW w:w="1250" w:type="pct"/>
            <w:noWrap w:val="0"/>
            <w:vAlign w:val="center"/>
          </w:tcPr>
          <w:p w14:paraId="5670E773">
            <w:pPr>
              <w:jc w:val="center"/>
              <w:rPr>
                <w:rFonts w:eastAsia="仿宋"/>
                <w:color w:val="auto"/>
                <w:sz w:val="28"/>
                <w:szCs w:val="28"/>
              </w:rPr>
            </w:pPr>
          </w:p>
        </w:tc>
        <w:tc>
          <w:tcPr>
            <w:tcW w:w="1250" w:type="pct"/>
            <w:noWrap w:val="0"/>
            <w:vAlign w:val="center"/>
          </w:tcPr>
          <w:p w14:paraId="086DCC1C">
            <w:pPr>
              <w:jc w:val="center"/>
              <w:rPr>
                <w:rFonts w:eastAsia="仿宋"/>
                <w:color w:val="auto"/>
                <w:sz w:val="28"/>
                <w:szCs w:val="28"/>
              </w:rPr>
            </w:pPr>
            <w:r>
              <w:rPr>
                <w:rFonts w:eastAsia="仿宋"/>
                <w:color w:val="auto"/>
                <w:sz w:val="28"/>
                <w:szCs w:val="28"/>
              </w:rPr>
              <w:t>单位</w:t>
            </w:r>
          </w:p>
        </w:tc>
        <w:tc>
          <w:tcPr>
            <w:tcW w:w="1249" w:type="pct"/>
            <w:noWrap w:val="0"/>
            <w:vAlign w:val="center"/>
          </w:tcPr>
          <w:p w14:paraId="32020097">
            <w:pPr>
              <w:jc w:val="center"/>
              <w:rPr>
                <w:rFonts w:eastAsia="仿宋"/>
                <w:color w:val="auto"/>
                <w:sz w:val="28"/>
                <w:szCs w:val="28"/>
              </w:rPr>
            </w:pPr>
          </w:p>
        </w:tc>
      </w:tr>
      <w:tr w14:paraId="3309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50" w:type="pct"/>
            <w:noWrap w:val="0"/>
            <w:vAlign w:val="center"/>
          </w:tcPr>
          <w:p w14:paraId="2C11968A">
            <w:pPr>
              <w:jc w:val="center"/>
              <w:rPr>
                <w:rFonts w:eastAsia="仿宋"/>
                <w:color w:val="auto"/>
                <w:sz w:val="28"/>
                <w:szCs w:val="28"/>
              </w:rPr>
            </w:pPr>
            <w:r>
              <w:rPr>
                <w:rFonts w:eastAsia="仿宋"/>
                <w:color w:val="auto"/>
                <w:sz w:val="28"/>
                <w:szCs w:val="28"/>
              </w:rPr>
              <w:t>联系方式</w:t>
            </w:r>
          </w:p>
        </w:tc>
        <w:tc>
          <w:tcPr>
            <w:tcW w:w="1250" w:type="pct"/>
            <w:noWrap w:val="0"/>
            <w:vAlign w:val="center"/>
          </w:tcPr>
          <w:p w14:paraId="01C2F5E9">
            <w:pPr>
              <w:jc w:val="center"/>
              <w:rPr>
                <w:rFonts w:eastAsia="仿宋"/>
                <w:color w:val="auto"/>
                <w:sz w:val="28"/>
                <w:szCs w:val="28"/>
              </w:rPr>
            </w:pPr>
          </w:p>
        </w:tc>
        <w:tc>
          <w:tcPr>
            <w:tcW w:w="1250" w:type="pct"/>
            <w:noWrap w:val="0"/>
            <w:vAlign w:val="center"/>
          </w:tcPr>
          <w:p w14:paraId="263D5493">
            <w:pPr>
              <w:jc w:val="center"/>
              <w:rPr>
                <w:rFonts w:eastAsia="仿宋"/>
                <w:color w:val="auto"/>
                <w:sz w:val="28"/>
                <w:szCs w:val="28"/>
              </w:rPr>
            </w:pPr>
            <w:r>
              <w:rPr>
                <w:rFonts w:eastAsia="仿宋"/>
                <w:color w:val="auto"/>
                <w:sz w:val="28"/>
                <w:szCs w:val="28"/>
              </w:rPr>
              <w:t>信息来源</w:t>
            </w:r>
          </w:p>
        </w:tc>
        <w:tc>
          <w:tcPr>
            <w:tcW w:w="1249" w:type="pct"/>
            <w:noWrap w:val="0"/>
            <w:vAlign w:val="center"/>
          </w:tcPr>
          <w:p w14:paraId="6E37736C">
            <w:pPr>
              <w:jc w:val="center"/>
              <w:rPr>
                <w:rFonts w:eastAsia="仿宋"/>
                <w:color w:val="auto"/>
                <w:sz w:val="28"/>
                <w:szCs w:val="28"/>
              </w:rPr>
            </w:pPr>
          </w:p>
        </w:tc>
      </w:tr>
    </w:tbl>
    <w:p w14:paraId="1DA264D4">
      <w:pPr>
        <w:adjustRightInd w:val="0"/>
        <w:snapToGrid w:val="0"/>
        <w:spacing w:before="120" w:beforeLines="50" w:after="120" w:afterLines="50" w:line="360" w:lineRule="auto"/>
        <w:ind w:left="0"/>
        <w:jc w:val="center"/>
        <w:rPr>
          <w:rFonts w:eastAsia="仿宋"/>
          <w:b/>
          <w:bCs/>
          <w:color w:val="auto"/>
          <w:sz w:val="28"/>
          <w:szCs w:val="28"/>
        </w:rPr>
      </w:pPr>
      <w:r>
        <w:rPr>
          <w:rFonts w:eastAsia="仿宋"/>
          <w:b/>
          <w:color w:val="auto"/>
          <w:sz w:val="28"/>
          <w:szCs w:val="28"/>
        </w:rPr>
        <w:br w:type="page"/>
      </w:r>
      <w:r>
        <w:rPr>
          <w:rFonts w:eastAsia="仿宋"/>
          <w:b/>
          <w:bCs/>
          <w:color w:val="auto"/>
          <w:sz w:val="28"/>
          <w:szCs w:val="28"/>
        </w:rPr>
        <w:t>突发环境事件报告表（初报）</w:t>
      </w:r>
    </w:p>
    <w:tbl>
      <w:tblPr>
        <w:tblStyle w:val="2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869"/>
        <w:gridCol w:w="1482"/>
        <w:gridCol w:w="1259"/>
        <w:gridCol w:w="867"/>
        <w:gridCol w:w="2078"/>
      </w:tblGrid>
      <w:tr w14:paraId="5980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vMerge w:val="restart"/>
            <w:noWrap w:val="0"/>
            <w:vAlign w:val="center"/>
          </w:tcPr>
          <w:p w14:paraId="7F5AEB8B">
            <w:pPr>
              <w:snapToGrid w:val="0"/>
              <w:spacing w:line="240" w:lineRule="atLeast"/>
              <w:jc w:val="center"/>
              <w:rPr>
                <w:rFonts w:eastAsia="仿宋"/>
                <w:color w:val="auto"/>
                <w:sz w:val="28"/>
                <w:szCs w:val="28"/>
              </w:rPr>
            </w:pPr>
            <w:r>
              <w:rPr>
                <w:rFonts w:eastAsia="仿宋"/>
                <w:color w:val="auto"/>
                <w:sz w:val="28"/>
                <w:szCs w:val="28"/>
              </w:rPr>
              <w:t>报告方式</w:t>
            </w:r>
          </w:p>
        </w:tc>
        <w:tc>
          <w:tcPr>
            <w:tcW w:w="869" w:type="dxa"/>
            <w:noWrap w:val="0"/>
            <w:vAlign w:val="center"/>
          </w:tcPr>
          <w:p w14:paraId="5305613E">
            <w:pPr>
              <w:snapToGrid w:val="0"/>
              <w:spacing w:line="240" w:lineRule="atLeast"/>
              <w:jc w:val="center"/>
              <w:rPr>
                <w:rFonts w:eastAsia="仿宋"/>
                <w:color w:val="auto"/>
                <w:sz w:val="28"/>
                <w:szCs w:val="28"/>
              </w:rPr>
            </w:pPr>
            <w:r>
              <w:rPr>
                <w:rFonts w:eastAsia="仿宋"/>
                <w:color w:val="auto"/>
                <w:sz w:val="28"/>
                <w:szCs w:val="28"/>
              </w:rPr>
              <w:t>1</w:t>
            </w:r>
          </w:p>
        </w:tc>
        <w:tc>
          <w:tcPr>
            <w:tcW w:w="1482" w:type="dxa"/>
            <w:noWrap w:val="0"/>
            <w:vAlign w:val="center"/>
          </w:tcPr>
          <w:p w14:paraId="7643FC42">
            <w:pPr>
              <w:snapToGrid w:val="0"/>
              <w:spacing w:line="240" w:lineRule="atLeast"/>
              <w:jc w:val="center"/>
              <w:rPr>
                <w:rFonts w:eastAsia="仿宋"/>
                <w:color w:val="auto"/>
                <w:sz w:val="28"/>
                <w:szCs w:val="28"/>
              </w:rPr>
            </w:pPr>
            <w:r>
              <w:rPr>
                <w:rFonts w:eastAsia="仿宋"/>
                <w:color w:val="auto"/>
                <w:sz w:val="28"/>
                <w:szCs w:val="28"/>
              </w:rPr>
              <w:t>电话报告</w:t>
            </w:r>
          </w:p>
        </w:tc>
        <w:tc>
          <w:tcPr>
            <w:tcW w:w="1259" w:type="dxa"/>
            <w:vMerge w:val="restart"/>
            <w:noWrap w:val="0"/>
            <w:vAlign w:val="center"/>
          </w:tcPr>
          <w:p w14:paraId="3870EB75">
            <w:pPr>
              <w:snapToGrid w:val="0"/>
              <w:spacing w:line="240" w:lineRule="atLeast"/>
              <w:jc w:val="center"/>
              <w:rPr>
                <w:rFonts w:eastAsia="仿宋"/>
                <w:color w:val="auto"/>
                <w:sz w:val="28"/>
                <w:szCs w:val="28"/>
              </w:rPr>
            </w:pPr>
            <w:r>
              <w:rPr>
                <w:rFonts w:eastAsia="仿宋"/>
                <w:color w:val="auto"/>
                <w:sz w:val="28"/>
                <w:szCs w:val="28"/>
              </w:rPr>
              <w:t>报告人</w:t>
            </w:r>
          </w:p>
        </w:tc>
        <w:tc>
          <w:tcPr>
            <w:tcW w:w="867" w:type="dxa"/>
            <w:noWrap w:val="0"/>
            <w:vAlign w:val="center"/>
          </w:tcPr>
          <w:p w14:paraId="17CBF240">
            <w:pPr>
              <w:snapToGrid w:val="0"/>
              <w:spacing w:line="240" w:lineRule="atLeast"/>
              <w:jc w:val="center"/>
              <w:rPr>
                <w:rFonts w:eastAsia="仿宋"/>
                <w:color w:val="auto"/>
                <w:sz w:val="28"/>
                <w:szCs w:val="28"/>
              </w:rPr>
            </w:pPr>
            <w:r>
              <w:rPr>
                <w:rFonts w:eastAsia="仿宋"/>
                <w:color w:val="auto"/>
                <w:sz w:val="28"/>
                <w:szCs w:val="28"/>
              </w:rPr>
              <w:t>内部</w:t>
            </w:r>
          </w:p>
        </w:tc>
        <w:tc>
          <w:tcPr>
            <w:tcW w:w="2078" w:type="dxa"/>
            <w:noWrap w:val="0"/>
            <w:vAlign w:val="center"/>
          </w:tcPr>
          <w:p w14:paraId="43F5CA32">
            <w:pPr>
              <w:snapToGrid w:val="0"/>
              <w:spacing w:line="240" w:lineRule="atLeast"/>
              <w:jc w:val="center"/>
              <w:rPr>
                <w:rFonts w:eastAsia="仿宋"/>
                <w:color w:val="auto"/>
                <w:sz w:val="28"/>
                <w:szCs w:val="28"/>
              </w:rPr>
            </w:pPr>
          </w:p>
        </w:tc>
      </w:tr>
      <w:tr w14:paraId="49051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vMerge w:val="continue"/>
            <w:noWrap w:val="0"/>
            <w:vAlign w:val="center"/>
          </w:tcPr>
          <w:p w14:paraId="46469CBA">
            <w:pPr>
              <w:snapToGrid w:val="0"/>
              <w:spacing w:line="240" w:lineRule="atLeast"/>
              <w:jc w:val="center"/>
              <w:rPr>
                <w:rFonts w:eastAsia="仿宋"/>
                <w:color w:val="auto"/>
                <w:sz w:val="28"/>
                <w:szCs w:val="28"/>
              </w:rPr>
            </w:pPr>
          </w:p>
        </w:tc>
        <w:tc>
          <w:tcPr>
            <w:tcW w:w="869" w:type="dxa"/>
            <w:noWrap w:val="0"/>
            <w:vAlign w:val="center"/>
          </w:tcPr>
          <w:p w14:paraId="195966F3">
            <w:pPr>
              <w:snapToGrid w:val="0"/>
              <w:spacing w:line="240" w:lineRule="atLeast"/>
              <w:jc w:val="center"/>
              <w:rPr>
                <w:rFonts w:eastAsia="仿宋"/>
                <w:color w:val="auto"/>
                <w:sz w:val="28"/>
                <w:szCs w:val="28"/>
              </w:rPr>
            </w:pPr>
            <w:r>
              <w:rPr>
                <w:rFonts w:eastAsia="仿宋"/>
                <w:color w:val="auto"/>
                <w:sz w:val="28"/>
                <w:szCs w:val="28"/>
              </w:rPr>
              <w:t>2</w:t>
            </w:r>
          </w:p>
        </w:tc>
        <w:tc>
          <w:tcPr>
            <w:tcW w:w="1482" w:type="dxa"/>
            <w:noWrap w:val="0"/>
            <w:vAlign w:val="center"/>
          </w:tcPr>
          <w:p w14:paraId="0B72709F">
            <w:pPr>
              <w:snapToGrid w:val="0"/>
              <w:spacing w:line="240" w:lineRule="atLeast"/>
              <w:jc w:val="center"/>
              <w:rPr>
                <w:rFonts w:eastAsia="仿宋"/>
                <w:color w:val="auto"/>
                <w:sz w:val="28"/>
                <w:szCs w:val="28"/>
              </w:rPr>
            </w:pPr>
            <w:r>
              <w:rPr>
                <w:rFonts w:eastAsia="仿宋"/>
                <w:color w:val="auto"/>
                <w:sz w:val="28"/>
                <w:szCs w:val="28"/>
              </w:rPr>
              <w:t>书面报告</w:t>
            </w:r>
          </w:p>
        </w:tc>
        <w:tc>
          <w:tcPr>
            <w:tcW w:w="1259" w:type="dxa"/>
            <w:vMerge w:val="continue"/>
            <w:noWrap w:val="0"/>
            <w:vAlign w:val="center"/>
          </w:tcPr>
          <w:p w14:paraId="049F8670">
            <w:pPr>
              <w:snapToGrid w:val="0"/>
              <w:spacing w:line="240" w:lineRule="atLeast"/>
              <w:jc w:val="center"/>
              <w:rPr>
                <w:rFonts w:eastAsia="仿宋"/>
                <w:color w:val="auto"/>
                <w:sz w:val="28"/>
                <w:szCs w:val="28"/>
              </w:rPr>
            </w:pPr>
          </w:p>
        </w:tc>
        <w:tc>
          <w:tcPr>
            <w:tcW w:w="867" w:type="dxa"/>
            <w:noWrap w:val="0"/>
            <w:vAlign w:val="center"/>
          </w:tcPr>
          <w:p w14:paraId="61E29E48">
            <w:pPr>
              <w:snapToGrid w:val="0"/>
              <w:spacing w:line="240" w:lineRule="atLeast"/>
              <w:jc w:val="center"/>
              <w:rPr>
                <w:rFonts w:eastAsia="仿宋"/>
                <w:color w:val="auto"/>
                <w:sz w:val="28"/>
                <w:szCs w:val="28"/>
              </w:rPr>
            </w:pPr>
            <w:r>
              <w:rPr>
                <w:rFonts w:eastAsia="仿宋"/>
                <w:color w:val="auto"/>
                <w:sz w:val="28"/>
                <w:szCs w:val="28"/>
              </w:rPr>
              <w:t>外部</w:t>
            </w:r>
          </w:p>
        </w:tc>
        <w:tc>
          <w:tcPr>
            <w:tcW w:w="2078" w:type="dxa"/>
            <w:noWrap w:val="0"/>
            <w:vAlign w:val="center"/>
          </w:tcPr>
          <w:p w14:paraId="01018467">
            <w:pPr>
              <w:snapToGrid w:val="0"/>
              <w:spacing w:line="240" w:lineRule="atLeast"/>
              <w:jc w:val="center"/>
              <w:rPr>
                <w:rFonts w:eastAsia="仿宋"/>
                <w:color w:val="auto"/>
                <w:sz w:val="28"/>
                <w:szCs w:val="28"/>
              </w:rPr>
            </w:pPr>
          </w:p>
        </w:tc>
      </w:tr>
      <w:tr w14:paraId="17A0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42B6DFF3">
            <w:pPr>
              <w:snapToGrid w:val="0"/>
              <w:spacing w:line="240" w:lineRule="atLeast"/>
              <w:jc w:val="center"/>
              <w:rPr>
                <w:rFonts w:eastAsia="仿宋"/>
                <w:color w:val="auto"/>
                <w:sz w:val="28"/>
                <w:szCs w:val="28"/>
              </w:rPr>
            </w:pPr>
            <w:r>
              <w:rPr>
                <w:rFonts w:eastAsia="仿宋"/>
                <w:color w:val="auto"/>
                <w:sz w:val="28"/>
                <w:szCs w:val="28"/>
              </w:rPr>
              <w:t>报告时间</w:t>
            </w:r>
          </w:p>
        </w:tc>
        <w:tc>
          <w:tcPr>
            <w:tcW w:w="6555" w:type="dxa"/>
            <w:gridSpan w:val="5"/>
            <w:noWrap w:val="0"/>
            <w:vAlign w:val="center"/>
          </w:tcPr>
          <w:p w14:paraId="75E2952D">
            <w:pPr>
              <w:snapToGrid w:val="0"/>
              <w:spacing w:line="240" w:lineRule="atLeast"/>
              <w:jc w:val="center"/>
              <w:rPr>
                <w:rFonts w:eastAsia="仿宋"/>
                <w:color w:val="auto"/>
                <w:sz w:val="28"/>
                <w:szCs w:val="28"/>
              </w:rPr>
            </w:pPr>
            <w:r>
              <w:rPr>
                <w:rFonts w:eastAsia="仿宋"/>
                <w:color w:val="auto"/>
                <w:sz w:val="28"/>
                <w:szCs w:val="28"/>
              </w:rPr>
              <w:t>年</w:t>
            </w:r>
            <w:r>
              <w:rPr>
                <w:rFonts w:hint="eastAsia" w:eastAsia="仿宋"/>
                <w:color w:val="auto"/>
                <w:sz w:val="28"/>
                <w:szCs w:val="28"/>
              </w:rPr>
              <w:t xml:space="preserve">   </w:t>
            </w:r>
            <w:r>
              <w:rPr>
                <w:rFonts w:eastAsia="仿宋"/>
                <w:color w:val="auto"/>
                <w:sz w:val="28"/>
                <w:szCs w:val="28"/>
              </w:rPr>
              <w:t>月</w:t>
            </w:r>
            <w:r>
              <w:rPr>
                <w:rFonts w:hint="eastAsia" w:eastAsia="仿宋"/>
                <w:color w:val="auto"/>
                <w:sz w:val="28"/>
                <w:szCs w:val="28"/>
              </w:rPr>
              <w:t xml:space="preserve">   </w:t>
            </w:r>
            <w:r>
              <w:rPr>
                <w:rFonts w:eastAsia="仿宋"/>
                <w:color w:val="auto"/>
                <w:sz w:val="28"/>
                <w:szCs w:val="28"/>
              </w:rPr>
              <w:t>日</w:t>
            </w:r>
            <w:r>
              <w:rPr>
                <w:rFonts w:hint="eastAsia" w:eastAsia="仿宋"/>
                <w:color w:val="auto"/>
                <w:sz w:val="28"/>
                <w:szCs w:val="28"/>
              </w:rPr>
              <w:t xml:space="preserve">   </w:t>
            </w:r>
            <w:r>
              <w:rPr>
                <w:rFonts w:eastAsia="仿宋"/>
                <w:color w:val="auto"/>
                <w:sz w:val="28"/>
                <w:szCs w:val="28"/>
              </w:rPr>
              <w:t>时</w:t>
            </w:r>
            <w:r>
              <w:rPr>
                <w:rFonts w:hint="eastAsia" w:eastAsia="仿宋"/>
                <w:color w:val="auto"/>
                <w:sz w:val="28"/>
                <w:szCs w:val="28"/>
              </w:rPr>
              <w:t xml:space="preserve">   </w:t>
            </w:r>
            <w:r>
              <w:rPr>
                <w:rFonts w:eastAsia="仿宋"/>
                <w:color w:val="auto"/>
                <w:sz w:val="28"/>
                <w:szCs w:val="28"/>
              </w:rPr>
              <w:t>分</w:t>
            </w:r>
          </w:p>
        </w:tc>
      </w:tr>
      <w:tr w14:paraId="4457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570C688F">
            <w:pPr>
              <w:snapToGrid w:val="0"/>
              <w:spacing w:line="240" w:lineRule="atLeast"/>
              <w:jc w:val="center"/>
              <w:rPr>
                <w:rFonts w:eastAsia="仿宋"/>
                <w:color w:val="auto"/>
                <w:sz w:val="28"/>
                <w:szCs w:val="28"/>
              </w:rPr>
            </w:pPr>
            <w:r>
              <w:rPr>
                <w:rFonts w:eastAsia="仿宋"/>
                <w:color w:val="auto"/>
                <w:sz w:val="28"/>
                <w:szCs w:val="28"/>
              </w:rPr>
              <w:t>单位名称</w:t>
            </w:r>
          </w:p>
        </w:tc>
        <w:tc>
          <w:tcPr>
            <w:tcW w:w="6555" w:type="dxa"/>
            <w:gridSpan w:val="5"/>
            <w:noWrap w:val="0"/>
            <w:vAlign w:val="center"/>
          </w:tcPr>
          <w:p w14:paraId="2FA95FBA">
            <w:pPr>
              <w:snapToGrid w:val="0"/>
              <w:spacing w:line="240" w:lineRule="atLeast"/>
              <w:jc w:val="center"/>
              <w:rPr>
                <w:rFonts w:eastAsia="仿宋"/>
                <w:color w:val="auto"/>
                <w:sz w:val="28"/>
                <w:szCs w:val="28"/>
              </w:rPr>
            </w:pPr>
          </w:p>
        </w:tc>
      </w:tr>
      <w:tr w14:paraId="118F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08AEF6BD">
            <w:pPr>
              <w:snapToGrid w:val="0"/>
              <w:spacing w:line="240" w:lineRule="atLeast"/>
              <w:jc w:val="center"/>
              <w:rPr>
                <w:rFonts w:eastAsia="仿宋"/>
                <w:color w:val="auto"/>
                <w:sz w:val="28"/>
                <w:szCs w:val="28"/>
              </w:rPr>
            </w:pPr>
            <w:r>
              <w:rPr>
                <w:rFonts w:eastAsia="仿宋"/>
                <w:color w:val="auto"/>
                <w:sz w:val="28"/>
                <w:szCs w:val="28"/>
              </w:rPr>
              <w:t>地址</w:t>
            </w:r>
          </w:p>
        </w:tc>
        <w:tc>
          <w:tcPr>
            <w:tcW w:w="6555" w:type="dxa"/>
            <w:gridSpan w:val="5"/>
            <w:noWrap w:val="0"/>
            <w:vAlign w:val="center"/>
          </w:tcPr>
          <w:p w14:paraId="66F16F46">
            <w:pPr>
              <w:snapToGrid w:val="0"/>
              <w:spacing w:line="240" w:lineRule="atLeast"/>
              <w:jc w:val="center"/>
              <w:rPr>
                <w:rFonts w:eastAsia="仿宋"/>
                <w:color w:val="auto"/>
                <w:sz w:val="28"/>
                <w:szCs w:val="28"/>
              </w:rPr>
            </w:pPr>
            <w:r>
              <w:rPr>
                <w:rFonts w:eastAsia="仿宋"/>
                <w:color w:val="auto"/>
                <w:sz w:val="28"/>
                <w:szCs w:val="28"/>
              </w:rPr>
              <w:t>省市区乡（镇）村</w:t>
            </w:r>
          </w:p>
        </w:tc>
      </w:tr>
      <w:tr w14:paraId="4707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2D10378A">
            <w:pPr>
              <w:snapToGrid w:val="0"/>
              <w:spacing w:line="240" w:lineRule="atLeast"/>
              <w:jc w:val="center"/>
              <w:rPr>
                <w:rFonts w:eastAsia="仿宋"/>
                <w:color w:val="auto"/>
                <w:sz w:val="28"/>
                <w:szCs w:val="28"/>
              </w:rPr>
            </w:pPr>
            <w:r>
              <w:rPr>
                <w:rFonts w:eastAsia="仿宋"/>
                <w:color w:val="auto"/>
                <w:sz w:val="28"/>
                <w:szCs w:val="28"/>
              </w:rPr>
              <w:t>法人代表</w:t>
            </w:r>
          </w:p>
        </w:tc>
        <w:tc>
          <w:tcPr>
            <w:tcW w:w="2351" w:type="dxa"/>
            <w:gridSpan w:val="2"/>
            <w:noWrap w:val="0"/>
            <w:vAlign w:val="center"/>
          </w:tcPr>
          <w:p w14:paraId="7DCB4919">
            <w:pPr>
              <w:snapToGrid w:val="0"/>
              <w:spacing w:line="240" w:lineRule="atLeast"/>
              <w:jc w:val="center"/>
              <w:rPr>
                <w:rFonts w:eastAsia="仿宋"/>
                <w:color w:val="auto"/>
                <w:sz w:val="28"/>
                <w:szCs w:val="28"/>
              </w:rPr>
            </w:pPr>
          </w:p>
        </w:tc>
        <w:tc>
          <w:tcPr>
            <w:tcW w:w="2126" w:type="dxa"/>
            <w:gridSpan w:val="2"/>
            <w:noWrap w:val="0"/>
            <w:vAlign w:val="center"/>
          </w:tcPr>
          <w:p w14:paraId="4A1AD79C">
            <w:pPr>
              <w:snapToGrid w:val="0"/>
              <w:spacing w:line="240" w:lineRule="atLeast"/>
              <w:jc w:val="center"/>
              <w:rPr>
                <w:rFonts w:eastAsia="仿宋"/>
                <w:color w:val="auto"/>
                <w:sz w:val="28"/>
                <w:szCs w:val="28"/>
              </w:rPr>
            </w:pPr>
            <w:r>
              <w:rPr>
                <w:rFonts w:eastAsia="仿宋"/>
                <w:color w:val="auto"/>
                <w:sz w:val="28"/>
                <w:szCs w:val="28"/>
              </w:rPr>
              <w:t>联系电话</w:t>
            </w:r>
          </w:p>
        </w:tc>
        <w:tc>
          <w:tcPr>
            <w:tcW w:w="2078" w:type="dxa"/>
            <w:noWrap w:val="0"/>
            <w:vAlign w:val="center"/>
          </w:tcPr>
          <w:p w14:paraId="4B550BB2">
            <w:pPr>
              <w:snapToGrid w:val="0"/>
              <w:spacing w:line="240" w:lineRule="atLeast"/>
              <w:jc w:val="center"/>
              <w:rPr>
                <w:rFonts w:eastAsia="仿宋"/>
                <w:color w:val="auto"/>
                <w:sz w:val="28"/>
                <w:szCs w:val="28"/>
              </w:rPr>
            </w:pPr>
          </w:p>
        </w:tc>
      </w:tr>
      <w:tr w14:paraId="0F83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2AF6AC3D">
            <w:pPr>
              <w:snapToGrid w:val="0"/>
              <w:spacing w:line="240" w:lineRule="atLeast"/>
              <w:jc w:val="center"/>
              <w:rPr>
                <w:rFonts w:eastAsia="仿宋"/>
                <w:color w:val="auto"/>
                <w:sz w:val="28"/>
                <w:szCs w:val="28"/>
              </w:rPr>
            </w:pPr>
            <w:r>
              <w:rPr>
                <w:rFonts w:eastAsia="仿宋"/>
                <w:color w:val="auto"/>
                <w:sz w:val="28"/>
                <w:szCs w:val="28"/>
              </w:rPr>
              <w:t>传真</w:t>
            </w:r>
          </w:p>
        </w:tc>
        <w:tc>
          <w:tcPr>
            <w:tcW w:w="2351" w:type="dxa"/>
            <w:gridSpan w:val="2"/>
            <w:noWrap w:val="0"/>
            <w:vAlign w:val="center"/>
          </w:tcPr>
          <w:p w14:paraId="522823EF">
            <w:pPr>
              <w:snapToGrid w:val="0"/>
              <w:spacing w:line="240" w:lineRule="atLeast"/>
              <w:jc w:val="center"/>
              <w:rPr>
                <w:rFonts w:eastAsia="仿宋"/>
                <w:color w:val="auto"/>
                <w:sz w:val="28"/>
                <w:szCs w:val="28"/>
              </w:rPr>
            </w:pPr>
          </w:p>
        </w:tc>
        <w:tc>
          <w:tcPr>
            <w:tcW w:w="2126" w:type="dxa"/>
            <w:gridSpan w:val="2"/>
            <w:noWrap w:val="0"/>
            <w:vAlign w:val="center"/>
          </w:tcPr>
          <w:p w14:paraId="45F78DA8">
            <w:pPr>
              <w:snapToGrid w:val="0"/>
              <w:spacing w:line="240" w:lineRule="atLeast"/>
              <w:jc w:val="center"/>
              <w:rPr>
                <w:rFonts w:eastAsia="仿宋"/>
                <w:color w:val="auto"/>
                <w:sz w:val="28"/>
                <w:szCs w:val="28"/>
              </w:rPr>
            </w:pPr>
            <w:r>
              <w:rPr>
                <w:rFonts w:eastAsia="仿宋"/>
                <w:color w:val="auto"/>
                <w:sz w:val="28"/>
                <w:szCs w:val="28"/>
              </w:rPr>
              <w:t>Email</w:t>
            </w:r>
          </w:p>
        </w:tc>
        <w:tc>
          <w:tcPr>
            <w:tcW w:w="2078" w:type="dxa"/>
            <w:noWrap w:val="0"/>
            <w:vAlign w:val="center"/>
          </w:tcPr>
          <w:p w14:paraId="3EF32D1B">
            <w:pPr>
              <w:snapToGrid w:val="0"/>
              <w:spacing w:line="240" w:lineRule="atLeast"/>
              <w:jc w:val="center"/>
              <w:rPr>
                <w:rFonts w:eastAsia="仿宋"/>
                <w:color w:val="auto"/>
                <w:sz w:val="28"/>
                <w:szCs w:val="28"/>
              </w:rPr>
            </w:pPr>
          </w:p>
        </w:tc>
      </w:tr>
      <w:tr w14:paraId="742F8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32A763F0">
            <w:pPr>
              <w:snapToGrid w:val="0"/>
              <w:spacing w:line="240" w:lineRule="atLeast"/>
              <w:jc w:val="center"/>
              <w:rPr>
                <w:rFonts w:eastAsia="仿宋"/>
                <w:color w:val="auto"/>
                <w:sz w:val="28"/>
                <w:szCs w:val="28"/>
              </w:rPr>
            </w:pPr>
            <w:r>
              <w:rPr>
                <w:rFonts w:eastAsia="仿宋"/>
                <w:color w:val="auto"/>
                <w:sz w:val="28"/>
                <w:szCs w:val="28"/>
              </w:rPr>
              <w:t>发生位置</w:t>
            </w:r>
          </w:p>
        </w:tc>
        <w:tc>
          <w:tcPr>
            <w:tcW w:w="2351" w:type="dxa"/>
            <w:gridSpan w:val="2"/>
            <w:noWrap w:val="0"/>
            <w:vAlign w:val="center"/>
          </w:tcPr>
          <w:p w14:paraId="3D849B4B">
            <w:pPr>
              <w:snapToGrid w:val="0"/>
              <w:spacing w:line="240" w:lineRule="atLeast"/>
              <w:jc w:val="center"/>
              <w:rPr>
                <w:rFonts w:eastAsia="仿宋"/>
                <w:color w:val="auto"/>
                <w:sz w:val="28"/>
                <w:szCs w:val="28"/>
              </w:rPr>
            </w:pPr>
          </w:p>
        </w:tc>
        <w:tc>
          <w:tcPr>
            <w:tcW w:w="2126" w:type="dxa"/>
            <w:gridSpan w:val="2"/>
            <w:noWrap w:val="0"/>
            <w:vAlign w:val="center"/>
          </w:tcPr>
          <w:p w14:paraId="1303D4C6">
            <w:pPr>
              <w:snapToGrid w:val="0"/>
              <w:spacing w:line="240" w:lineRule="atLeast"/>
              <w:jc w:val="center"/>
              <w:rPr>
                <w:rFonts w:eastAsia="仿宋"/>
                <w:color w:val="auto"/>
                <w:sz w:val="28"/>
                <w:szCs w:val="28"/>
              </w:rPr>
            </w:pPr>
            <w:r>
              <w:rPr>
                <w:rFonts w:eastAsia="仿宋"/>
                <w:color w:val="auto"/>
                <w:sz w:val="28"/>
                <w:szCs w:val="28"/>
              </w:rPr>
              <w:t>设备设施名称</w:t>
            </w:r>
          </w:p>
        </w:tc>
        <w:tc>
          <w:tcPr>
            <w:tcW w:w="2078" w:type="dxa"/>
            <w:noWrap w:val="0"/>
            <w:vAlign w:val="center"/>
          </w:tcPr>
          <w:p w14:paraId="5994FF62">
            <w:pPr>
              <w:snapToGrid w:val="0"/>
              <w:spacing w:line="240" w:lineRule="atLeast"/>
              <w:jc w:val="center"/>
              <w:rPr>
                <w:rFonts w:eastAsia="仿宋"/>
                <w:color w:val="auto"/>
                <w:sz w:val="28"/>
                <w:szCs w:val="28"/>
              </w:rPr>
            </w:pPr>
          </w:p>
        </w:tc>
      </w:tr>
      <w:tr w14:paraId="6B8D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35F27DA9">
            <w:pPr>
              <w:snapToGrid w:val="0"/>
              <w:spacing w:line="240" w:lineRule="atLeast"/>
              <w:jc w:val="center"/>
              <w:rPr>
                <w:rFonts w:eastAsia="仿宋"/>
                <w:color w:val="auto"/>
                <w:sz w:val="28"/>
                <w:szCs w:val="28"/>
              </w:rPr>
            </w:pPr>
            <w:r>
              <w:rPr>
                <w:rFonts w:eastAsia="仿宋"/>
                <w:color w:val="auto"/>
                <w:sz w:val="28"/>
                <w:szCs w:val="28"/>
              </w:rPr>
              <w:t>物料名称</w:t>
            </w:r>
          </w:p>
        </w:tc>
        <w:tc>
          <w:tcPr>
            <w:tcW w:w="6555" w:type="dxa"/>
            <w:gridSpan w:val="5"/>
            <w:noWrap w:val="0"/>
            <w:vAlign w:val="center"/>
          </w:tcPr>
          <w:p w14:paraId="4AB4D3F3">
            <w:pPr>
              <w:snapToGrid w:val="0"/>
              <w:spacing w:line="240" w:lineRule="atLeast"/>
              <w:jc w:val="center"/>
              <w:rPr>
                <w:rFonts w:eastAsia="仿宋"/>
                <w:color w:val="auto"/>
                <w:sz w:val="28"/>
                <w:szCs w:val="28"/>
              </w:rPr>
            </w:pPr>
          </w:p>
        </w:tc>
      </w:tr>
      <w:tr w14:paraId="76277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5C3DC20E">
            <w:pPr>
              <w:snapToGrid w:val="0"/>
              <w:spacing w:line="240" w:lineRule="atLeast"/>
              <w:jc w:val="center"/>
              <w:rPr>
                <w:rFonts w:eastAsia="仿宋"/>
                <w:color w:val="auto"/>
                <w:sz w:val="28"/>
                <w:szCs w:val="28"/>
              </w:rPr>
            </w:pPr>
            <w:r>
              <w:rPr>
                <w:rFonts w:eastAsia="仿宋"/>
                <w:color w:val="auto"/>
                <w:sz w:val="28"/>
                <w:szCs w:val="28"/>
              </w:rPr>
              <w:t>类型</w:t>
            </w:r>
          </w:p>
        </w:tc>
        <w:tc>
          <w:tcPr>
            <w:tcW w:w="6555" w:type="dxa"/>
            <w:gridSpan w:val="5"/>
            <w:noWrap w:val="0"/>
            <w:vAlign w:val="center"/>
          </w:tcPr>
          <w:p w14:paraId="2DD117FB">
            <w:pPr>
              <w:snapToGrid w:val="0"/>
              <w:spacing w:line="240" w:lineRule="atLeast"/>
              <w:jc w:val="center"/>
              <w:rPr>
                <w:rFonts w:eastAsia="仿宋"/>
                <w:color w:val="auto"/>
                <w:sz w:val="28"/>
                <w:szCs w:val="28"/>
              </w:rPr>
            </w:pPr>
            <w:r>
              <w:rPr>
                <w:rFonts w:eastAsia="仿宋"/>
                <w:color w:val="auto"/>
                <w:sz w:val="28"/>
                <w:szCs w:val="28"/>
              </w:rPr>
              <w:t>泄漏□火灾□爆炸□其他□</w:t>
            </w:r>
          </w:p>
        </w:tc>
      </w:tr>
      <w:tr w14:paraId="7E61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6D546BDE">
            <w:pPr>
              <w:snapToGrid w:val="0"/>
              <w:spacing w:line="240" w:lineRule="atLeast"/>
              <w:jc w:val="center"/>
              <w:rPr>
                <w:rFonts w:eastAsia="仿宋"/>
                <w:color w:val="auto"/>
                <w:sz w:val="28"/>
                <w:szCs w:val="28"/>
              </w:rPr>
            </w:pPr>
            <w:r>
              <w:rPr>
                <w:rFonts w:eastAsia="仿宋"/>
                <w:color w:val="auto"/>
                <w:sz w:val="28"/>
                <w:szCs w:val="28"/>
              </w:rPr>
              <w:t>污染物名称</w:t>
            </w:r>
          </w:p>
        </w:tc>
        <w:tc>
          <w:tcPr>
            <w:tcW w:w="2351" w:type="dxa"/>
            <w:gridSpan w:val="2"/>
            <w:noWrap w:val="0"/>
            <w:vAlign w:val="center"/>
          </w:tcPr>
          <w:p w14:paraId="3C596C55">
            <w:pPr>
              <w:snapToGrid w:val="0"/>
              <w:spacing w:line="240" w:lineRule="atLeast"/>
              <w:jc w:val="center"/>
              <w:rPr>
                <w:rFonts w:eastAsia="仿宋"/>
                <w:color w:val="auto"/>
                <w:sz w:val="28"/>
                <w:szCs w:val="28"/>
              </w:rPr>
            </w:pPr>
            <w:r>
              <w:rPr>
                <w:rFonts w:eastAsia="仿宋"/>
                <w:color w:val="auto"/>
                <w:sz w:val="28"/>
                <w:szCs w:val="28"/>
              </w:rPr>
              <w:t>数量</w:t>
            </w:r>
          </w:p>
        </w:tc>
        <w:tc>
          <w:tcPr>
            <w:tcW w:w="4204" w:type="dxa"/>
            <w:gridSpan w:val="3"/>
            <w:noWrap w:val="0"/>
            <w:vAlign w:val="center"/>
          </w:tcPr>
          <w:p w14:paraId="5506635A">
            <w:pPr>
              <w:snapToGrid w:val="0"/>
              <w:spacing w:line="240" w:lineRule="atLeast"/>
              <w:jc w:val="center"/>
              <w:rPr>
                <w:rFonts w:eastAsia="仿宋"/>
                <w:color w:val="auto"/>
                <w:sz w:val="28"/>
                <w:szCs w:val="28"/>
              </w:rPr>
            </w:pPr>
            <w:r>
              <w:rPr>
                <w:rFonts w:eastAsia="仿宋"/>
                <w:color w:val="auto"/>
                <w:sz w:val="28"/>
                <w:szCs w:val="28"/>
              </w:rPr>
              <w:t>排放去向</w:t>
            </w:r>
          </w:p>
        </w:tc>
      </w:tr>
      <w:tr w14:paraId="1BA7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048981A8">
            <w:pPr>
              <w:snapToGrid w:val="0"/>
              <w:spacing w:line="240" w:lineRule="atLeast"/>
              <w:jc w:val="center"/>
              <w:rPr>
                <w:rFonts w:eastAsia="仿宋"/>
                <w:color w:val="auto"/>
                <w:sz w:val="28"/>
                <w:szCs w:val="28"/>
              </w:rPr>
            </w:pPr>
          </w:p>
        </w:tc>
        <w:tc>
          <w:tcPr>
            <w:tcW w:w="2351" w:type="dxa"/>
            <w:gridSpan w:val="2"/>
            <w:noWrap w:val="0"/>
            <w:vAlign w:val="center"/>
          </w:tcPr>
          <w:p w14:paraId="459C3BFB">
            <w:pPr>
              <w:snapToGrid w:val="0"/>
              <w:spacing w:line="240" w:lineRule="atLeast"/>
              <w:jc w:val="center"/>
              <w:rPr>
                <w:rFonts w:eastAsia="仿宋"/>
                <w:color w:val="auto"/>
                <w:sz w:val="28"/>
                <w:szCs w:val="28"/>
              </w:rPr>
            </w:pPr>
          </w:p>
        </w:tc>
        <w:tc>
          <w:tcPr>
            <w:tcW w:w="4204" w:type="dxa"/>
            <w:gridSpan w:val="3"/>
            <w:noWrap w:val="0"/>
            <w:vAlign w:val="center"/>
          </w:tcPr>
          <w:p w14:paraId="71994EE2">
            <w:pPr>
              <w:snapToGrid w:val="0"/>
              <w:spacing w:line="240" w:lineRule="atLeast"/>
              <w:jc w:val="center"/>
              <w:rPr>
                <w:rFonts w:eastAsia="仿宋"/>
                <w:color w:val="auto"/>
                <w:sz w:val="28"/>
                <w:szCs w:val="28"/>
              </w:rPr>
            </w:pPr>
          </w:p>
        </w:tc>
      </w:tr>
      <w:tr w14:paraId="53F1F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0E8DD8B7">
            <w:pPr>
              <w:snapToGrid w:val="0"/>
              <w:spacing w:line="240" w:lineRule="atLeast"/>
              <w:jc w:val="center"/>
              <w:rPr>
                <w:rFonts w:eastAsia="仿宋"/>
                <w:color w:val="auto"/>
                <w:sz w:val="28"/>
                <w:szCs w:val="28"/>
              </w:rPr>
            </w:pPr>
          </w:p>
        </w:tc>
        <w:tc>
          <w:tcPr>
            <w:tcW w:w="2351" w:type="dxa"/>
            <w:gridSpan w:val="2"/>
            <w:noWrap w:val="0"/>
            <w:vAlign w:val="center"/>
          </w:tcPr>
          <w:p w14:paraId="5F9BE254">
            <w:pPr>
              <w:snapToGrid w:val="0"/>
              <w:spacing w:line="240" w:lineRule="atLeast"/>
              <w:jc w:val="center"/>
              <w:rPr>
                <w:rFonts w:eastAsia="仿宋"/>
                <w:color w:val="auto"/>
                <w:sz w:val="28"/>
                <w:szCs w:val="28"/>
              </w:rPr>
            </w:pPr>
          </w:p>
        </w:tc>
        <w:tc>
          <w:tcPr>
            <w:tcW w:w="4204" w:type="dxa"/>
            <w:gridSpan w:val="3"/>
            <w:noWrap w:val="0"/>
            <w:vAlign w:val="center"/>
          </w:tcPr>
          <w:p w14:paraId="227D0FD2">
            <w:pPr>
              <w:snapToGrid w:val="0"/>
              <w:spacing w:line="240" w:lineRule="atLeast"/>
              <w:jc w:val="center"/>
              <w:rPr>
                <w:rFonts w:eastAsia="仿宋"/>
                <w:color w:val="auto"/>
                <w:sz w:val="28"/>
                <w:szCs w:val="28"/>
              </w:rPr>
            </w:pPr>
          </w:p>
        </w:tc>
      </w:tr>
      <w:tr w14:paraId="519A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75DDE561">
            <w:pPr>
              <w:snapToGrid w:val="0"/>
              <w:spacing w:line="240" w:lineRule="atLeast"/>
              <w:jc w:val="center"/>
              <w:rPr>
                <w:rFonts w:eastAsia="仿宋"/>
                <w:color w:val="auto"/>
                <w:sz w:val="28"/>
                <w:szCs w:val="28"/>
              </w:rPr>
            </w:pPr>
          </w:p>
        </w:tc>
        <w:tc>
          <w:tcPr>
            <w:tcW w:w="2351" w:type="dxa"/>
            <w:gridSpan w:val="2"/>
            <w:noWrap w:val="0"/>
            <w:vAlign w:val="center"/>
          </w:tcPr>
          <w:p w14:paraId="6B03EA7D">
            <w:pPr>
              <w:snapToGrid w:val="0"/>
              <w:spacing w:line="240" w:lineRule="atLeast"/>
              <w:jc w:val="center"/>
              <w:rPr>
                <w:rFonts w:eastAsia="仿宋"/>
                <w:color w:val="auto"/>
                <w:sz w:val="28"/>
                <w:szCs w:val="28"/>
              </w:rPr>
            </w:pPr>
          </w:p>
        </w:tc>
        <w:tc>
          <w:tcPr>
            <w:tcW w:w="4204" w:type="dxa"/>
            <w:gridSpan w:val="3"/>
            <w:noWrap w:val="0"/>
            <w:vAlign w:val="center"/>
          </w:tcPr>
          <w:p w14:paraId="280B9ADA">
            <w:pPr>
              <w:snapToGrid w:val="0"/>
              <w:spacing w:line="240" w:lineRule="atLeast"/>
              <w:jc w:val="center"/>
              <w:rPr>
                <w:rFonts w:eastAsia="仿宋"/>
                <w:color w:val="auto"/>
                <w:sz w:val="28"/>
                <w:szCs w:val="28"/>
              </w:rPr>
            </w:pPr>
          </w:p>
        </w:tc>
      </w:tr>
      <w:tr w14:paraId="416B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634AA42E">
            <w:pPr>
              <w:snapToGrid w:val="0"/>
              <w:spacing w:line="240" w:lineRule="atLeast"/>
              <w:jc w:val="center"/>
              <w:rPr>
                <w:rFonts w:eastAsia="仿宋"/>
                <w:color w:val="auto"/>
                <w:sz w:val="28"/>
                <w:szCs w:val="28"/>
              </w:rPr>
            </w:pPr>
          </w:p>
        </w:tc>
        <w:tc>
          <w:tcPr>
            <w:tcW w:w="2351" w:type="dxa"/>
            <w:gridSpan w:val="2"/>
            <w:noWrap w:val="0"/>
            <w:vAlign w:val="center"/>
          </w:tcPr>
          <w:p w14:paraId="65BA484D">
            <w:pPr>
              <w:snapToGrid w:val="0"/>
              <w:spacing w:line="240" w:lineRule="atLeast"/>
              <w:jc w:val="center"/>
              <w:rPr>
                <w:rFonts w:eastAsia="仿宋"/>
                <w:color w:val="auto"/>
                <w:sz w:val="28"/>
                <w:szCs w:val="28"/>
              </w:rPr>
            </w:pPr>
          </w:p>
        </w:tc>
        <w:tc>
          <w:tcPr>
            <w:tcW w:w="4204" w:type="dxa"/>
            <w:gridSpan w:val="3"/>
            <w:noWrap w:val="0"/>
            <w:vAlign w:val="center"/>
          </w:tcPr>
          <w:p w14:paraId="47DA222D">
            <w:pPr>
              <w:snapToGrid w:val="0"/>
              <w:spacing w:line="240" w:lineRule="atLeast"/>
              <w:jc w:val="center"/>
              <w:rPr>
                <w:rFonts w:eastAsia="仿宋"/>
                <w:color w:val="auto"/>
                <w:sz w:val="28"/>
                <w:szCs w:val="28"/>
              </w:rPr>
            </w:pPr>
          </w:p>
        </w:tc>
      </w:tr>
      <w:tr w14:paraId="303ED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4D120D02">
            <w:pPr>
              <w:snapToGrid w:val="0"/>
              <w:spacing w:line="240" w:lineRule="atLeast"/>
              <w:jc w:val="center"/>
              <w:rPr>
                <w:rFonts w:eastAsia="仿宋"/>
                <w:color w:val="auto"/>
                <w:sz w:val="28"/>
                <w:szCs w:val="28"/>
              </w:rPr>
            </w:pPr>
          </w:p>
        </w:tc>
        <w:tc>
          <w:tcPr>
            <w:tcW w:w="2351" w:type="dxa"/>
            <w:gridSpan w:val="2"/>
            <w:noWrap w:val="0"/>
            <w:vAlign w:val="center"/>
          </w:tcPr>
          <w:p w14:paraId="35B50AE7">
            <w:pPr>
              <w:snapToGrid w:val="0"/>
              <w:spacing w:line="240" w:lineRule="atLeast"/>
              <w:jc w:val="center"/>
              <w:rPr>
                <w:rFonts w:eastAsia="仿宋"/>
                <w:color w:val="auto"/>
                <w:sz w:val="28"/>
                <w:szCs w:val="28"/>
              </w:rPr>
            </w:pPr>
          </w:p>
        </w:tc>
        <w:tc>
          <w:tcPr>
            <w:tcW w:w="4204" w:type="dxa"/>
            <w:gridSpan w:val="3"/>
            <w:noWrap w:val="0"/>
            <w:vAlign w:val="center"/>
          </w:tcPr>
          <w:p w14:paraId="3014B58B">
            <w:pPr>
              <w:snapToGrid w:val="0"/>
              <w:spacing w:line="240" w:lineRule="atLeast"/>
              <w:jc w:val="center"/>
              <w:rPr>
                <w:rFonts w:eastAsia="仿宋"/>
                <w:color w:val="auto"/>
                <w:sz w:val="28"/>
                <w:szCs w:val="28"/>
              </w:rPr>
            </w:pPr>
          </w:p>
        </w:tc>
      </w:tr>
      <w:tr w14:paraId="37EC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859" w:type="dxa"/>
            <w:noWrap w:val="0"/>
            <w:vAlign w:val="center"/>
          </w:tcPr>
          <w:p w14:paraId="248A4BA8">
            <w:pPr>
              <w:snapToGrid w:val="0"/>
              <w:spacing w:line="240" w:lineRule="atLeast"/>
              <w:jc w:val="center"/>
              <w:rPr>
                <w:rFonts w:eastAsia="仿宋"/>
                <w:color w:val="auto"/>
                <w:sz w:val="28"/>
                <w:szCs w:val="28"/>
              </w:rPr>
            </w:pPr>
          </w:p>
        </w:tc>
        <w:tc>
          <w:tcPr>
            <w:tcW w:w="2351" w:type="dxa"/>
            <w:gridSpan w:val="2"/>
            <w:noWrap w:val="0"/>
            <w:vAlign w:val="center"/>
          </w:tcPr>
          <w:p w14:paraId="325F87FC">
            <w:pPr>
              <w:snapToGrid w:val="0"/>
              <w:spacing w:line="240" w:lineRule="atLeast"/>
              <w:jc w:val="center"/>
              <w:rPr>
                <w:rFonts w:eastAsia="仿宋"/>
                <w:color w:val="auto"/>
                <w:sz w:val="28"/>
                <w:szCs w:val="28"/>
              </w:rPr>
            </w:pPr>
          </w:p>
        </w:tc>
        <w:tc>
          <w:tcPr>
            <w:tcW w:w="4204" w:type="dxa"/>
            <w:gridSpan w:val="3"/>
            <w:noWrap w:val="0"/>
            <w:vAlign w:val="center"/>
          </w:tcPr>
          <w:p w14:paraId="07005CBE">
            <w:pPr>
              <w:snapToGrid w:val="0"/>
              <w:spacing w:line="240" w:lineRule="atLeast"/>
              <w:jc w:val="center"/>
              <w:rPr>
                <w:rFonts w:eastAsia="仿宋"/>
                <w:color w:val="auto"/>
                <w:sz w:val="28"/>
                <w:szCs w:val="28"/>
              </w:rPr>
            </w:pPr>
          </w:p>
        </w:tc>
      </w:tr>
      <w:tr w14:paraId="323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trPr>
        <w:tc>
          <w:tcPr>
            <w:tcW w:w="1859" w:type="dxa"/>
            <w:noWrap w:val="0"/>
            <w:vAlign w:val="center"/>
          </w:tcPr>
          <w:p w14:paraId="22BFAAD7">
            <w:pPr>
              <w:snapToGrid w:val="0"/>
              <w:spacing w:line="240" w:lineRule="atLeast"/>
              <w:jc w:val="center"/>
              <w:rPr>
                <w:rFonts w:eastAsia="仿宋"/>
                <w:color w:val="auto"/>
                <w:sz w:val="28"/>
                <w:szCs w:val="28"/>
              </w:rPr>
            </w:pPr>
            <w:r>
              <w:rPr>
                <w:rFonts w:eastAsia="仿宋"/>
                <w:color w:val="auto"/>
                <w:sz w:val="28"/>
                <w:szCs w:val="28"/>
              </w:rPr>
              <w:t>已污染范围</w:t>
            </w:r>
          </w:p>
        </w:tc>
        <w:tc>
          <w:tcPr>
            <w:tcW w:w="6555" w:type="dxa"/>
            <w:gridSpan w:val="5"/>
            <w:noWrap w:val="0"/>
            <w:vAlign w:val="center"/>
          </w:tcPr>
          <w:p w14:paraId="523051C1">
            <w:pPr>
              <w:snapToGrid w:val="0"/>
              <w:spacing w:line="240" w:lineRule="atLeast"/>
              <w:jc w:val="center"/>
              <w:rPr>
                <w:rFonts w:eastAsia="仿宋"/>
                <w:color w:val="auto"/>
                <w:sz w:val="28"/>
                <w:szCs w:val="28"/>
              </w:rPr>
            </w:pPr>
          </w:p>
        </w:tc>
      </w:tr>
      <w:tr w14:paraId="162BC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trPr>
        <w:tc>
          <w:tcPr>
            <w:tcW w:w="1859" w:type="dxa"/>
            <w:noWrap w:val="0"/>
            <w:vAlign w:val="center"/>
          </w:tcPr>
          <w:p w14:paraId="304EE86E">
            <w:pPr>
              <w:snapToGrid w:val="0"/>
              <w:spacing w:line="240" w:lineRule="atLeast"/>
              <w:jc w:val="center"/>
              <w:rPr>
                <w:rFonts w:eastAsia="仿宋"/>
                <w:color w:val="auto"/>
                <w:sz w:val="28"/>
                <w:szCs w:val="28"/>
              </w:rPr>
            </w:pPr>
            <w:r>
              <w:rPr>
                <w:rFonts w:eastAsia="仿宋"/>
                <w:color w:val="auto"/>
                <w:sz w:val="28"/>
                <w:szCs w:val="28"/>
              </w:rPr>
              <w:t>可能受影响区域</w:t>
            </w:r>
          </w:p>
        </w:tc>
        <w:tc>
          <w:tcPr>
            <w:tcW w:w="6555" w:type="dxa"/>
            <w:gridSpan w:val="5"/>
            <w:noWrap w:val="0"/>
            <w:vAlign w:val="center"/>
          </w:tcPr>
          <w:p w14:paraId="401A2259">
            <w:pPr>
              <w:snapToGrid w:val="0"/>
              <w:spacing w:line="240" w:lineRule="atLeast"/>
              <w:jc w:val="center"/>
              <w:rPr>
                <w:rFonts w:eastAsia="仿宋"/>
                <w:color w:val="auto"/>
                <w:sz w:val="28"/>
                <w:szCs w:val="28"/>
              </w:rPr>
            </w:pPr>
          </w:p>
        </w:tc>
      </w:tr>
      <w:tr w14:paraId="415F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trPr>
        <w:tc>
          <w:tcPr>
            <w:tcW w:w="1859" w:type="dxa"/>
            <w:noWrap w:val="0"/>
            <w:vAlign w:val="center"/>
          </w:tcPr>
          <w:p w14:paraId="47EFCE46">
            <w:pPr>
              <w:snapToGrid w:val="0"/>
              <w:spacing w:line="240" w:lineRule="atLeast"/>
              <w:jc w:val="center"/>
              <w:rPr>
                <w:rFonts w:eastAsia="仿宋"/>
                <w:color w:val="auto"/>
                <w:sz w:val="28"/>
                <w:szCs w:val="28"/>
              </w:rPr>
            </w:pPr>
            <w:r>
              <w:rPr>
                <w:rFonts w:eastAsia="仿宋"/>
                <w:color w:val="auto"/>
                <w:sz w:val="28"/>
                <w:szCs w:val="28"/>
              </w:rPr>
              <w:t>潜在的危害程度转换方式趋向</w:t>
            </w:r>
          </w:p>
        </w:tc>
        <w:tc>
          <w:tcPr>
            <w:tcW w:w="6555" w:type="dxa"/>
            <w:gridSpan w:val="5"/>
            <w:noWrap w:val="0"/>
            <w:vAlign w:val="center"/>
          </w:tcPr>
          <w:p w14:paraId="2737633D">
            <w:pPr>
              <w:snapToGrid w:val="0"/>
              <w:spacing w:line="240" w:lineRule="atLeast"/>
              <w:jc w:val="center"/>
              <w:rPr>
                <w:rFonts w:eastAsia="仿宋"/>
                <w:color w:val="auto"/>
                <w:sz w:val="28"/>
                <w:szCs w:val="28"/>
              </w:rPr>
            </w:pPr>
          </w:p>
        </w:tc>
      </w:tr>
      <w:tr w14:paraId="13DB3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trPr>
        <w:tc>
          <w:tcPr>
            <w:tcW w:w="1859" w:type="dxa"/>
            <w:noWrap w:val="0"/>
            <w:vAlign w:val="center"/>
          </w:tcPr>
          <w:p w14:paraId="765A663E">
            <w:pPr>
              <w:snapToGrid w:val="0"/>
              <w:spacing w:line="240" w:lineRule="atLeast"/>
              <w:jc w:val="center"/>
              <w:rPr>
                <w:rFonts w:eastAsia="仿宋"/>
                <w:color w:val="auto"/>
                <w:sz w:val="28"/>
                <w:szCs w:val="28"/>
              </w:rPr>
            </w:pPr>
            <w:r>
              <w:rPr>
                <w:rFonts w:eastAsia="仿宋"/>
                <w:color w:val="auto"/>
                <w:sz w:val="28"/>
                <w:szCs w:val="28"/>
              </w:rPr>
              <w:t>已采取的应急措施</w:t>
            </w:r>
          </w:p>
        </w:tc>
        <w:tc>
          <w:tcPr>
            <w:tcW w:w="6555" w:type="dxa"/>
            <w:gridSpan w:val="5"/>
            <w:noWrap w:val="0"/>
            <w:vAlign w:val="center"/>
          </w:tcPr>
          <w:p w14:paraId="4A5B56E6">
            <w:pPr>
              <w:snapToGrid w:val="0"/>
              <w:spacing w:line="240" w:lineRule="atLeast"/>
              <w:jc w:val="center"/>
              <w:rPr>
                <w:rFonts w:eastAsia="仿宋"/>
                <w:color w:val="auto"/>
                <w:sz w:val="28"/>
                <w:szCs w:val="28"/>
              </w:rPr>
            </w:pPr>
          </w:p>
        </w:tc>
      </w:tr>
      <w:tr w14:paraId="523D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trPr>
        <w:tc>
          <w:tcPr>
            <w:tcW w:w="1859" w:type="dxa"/>
            <w:noWrap w:val="0"/>
            <w:vAlign w:val="center"/>
          </w:tcPr>
          <w:p w14:paraId="10D93694">
            <w:pPr>
              <w:snapToGrid w:val="0"/>
              <w:spacing w:line="240" w:lineRule="atLeast"/>
              <w:jc w:val="center"/>
              <w:rPr>
                <w:rFonts w:eastAsia="仿宋"/>
                <w:color w:val="auto"/>
                <w:sz w:val="28"/>
                <w:szCs w:val="28"/>
              </w:rPr>
            </w:pPr>
            <w:r>
              <w:rPr>
                <w:rFonts w:eastAsia="仿宋"/>
                <w:color w:val="auto"/>
                <w:sz w:val="28"/>
                <w:szCs w:val="28"/>
              </w:rPr>
              <w:t>建议采取措施</w:t>
            </w:r>
          </w:p>
        </w:tc>
        <w:tc>
          <w:tcPr>
            <w:tcW w:w="6555" w:type="dxa"/>
            <w:gridSpan w:val="5"/>
            <w:noWrap w:val="0"/>
            <w:vAlign w:val="center"/>
          </w:tcPr>
          <w:p w14:paraId="49A9C262">
            <w:pPr>
              <w:snapToGrid w:val="0"/>
              <w:spacing w:line="240" w:lineRule="atLeast"/>
              <w:jc w:val="center"/>
              <w:rPr>
                <w:rFonts w:eastAsia="仿宋"/>
                <w:color w:val="auto"/>
                <w:sz w:val="28"/>
                <w:szCs w:val="28"/>
              </w:rPr>
            </w:pPr>
          </w:p>
        </w:tc>
      </w:tr>
      <w:tr w14:paraId="0D58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trPr>
        <w:tc>
          <w:tcPr>
            <w:tcW w:w="1859" w:type="dxa"/>
            <w:noWrap w:val="0"/>
            <w:vAlign w:val="center"/>
          </w:tcPr>
          <w:p w14:paraId="63FBA29A">
            <w:pPr>
              <w:snapToGrid w:val="0"/>
              <w:spacing w:line="240" w:lineRule="atLeast"/>
              <w:jc w:val="center"/>
              <w:rPr>
                <w:rFonts w:eastAsia="仿宋"/>
                <w:color w:val="auto"/>
                <w:sz w:val="28"/>
                <w:szCs w:val="28"/>
              </w:rPr>
            </w:pPr>
            <w:r>
              <w:rPr>
                <w:rFonts w:eastAsia="仿宋"/>
                <w:color w:val="auto"/>
                <w:sz w:val="28"/>
                <w:szCs w:val="28"/>
              </w:rPr>
              <w:t>直接人员伤亡和财产经济损失</w:t>
            </w:r>
          </w:p>
        </w:tc>
        <w:tc>
          <w:tcPr>
            <w:tcW w:w="6555" w:type="dxa"/>
            <w:gridSpan w:val="5"/>
            <w:noWrap w:val="0"/>
            <w:vAlign w:val="center"/>
          </w:tcPr>
          <w:p w14:paraId="7C9CFB0E">
            <w:pPr>
              <w:snapToGrid w:val="0"/>
              <w:spacing w:line="240" w:lineRule="atLeast"/>
              <w:jc w:val="center"/>
              <w:rPr>
                <w:rFonts w:eastAsia="仿宋"/>
                <w:color w:val="auto"/>
                <w:sz w:val="28"/>
                <w:szCs w:val="28"/>
              </w:rPr>
            </w:pPr>
          </w:p>
          <w:p w14:paraId="6F49AF37">
            <w:pPr>
              <w:snapToGrid w:val="0"/>
              <w:spacing w:line="240" w:lineRule="atLeast"/>
              <w:jc w:val="center"/>
              <w:rPr>
                <w:rFonts w:eastAsia="仿宋"/>
                <w:color w:val="auto"/>
                <w:sz w:val="28"/>
                <w:szCs w:val="28"/>
              </w:rPr>
            </w:pPr>
          </w:p>
          <w:p w14:paraId="3D13FEF2">
            <w:pPr>
              <w:snapToGrid w:val="0"/>
              <w:spacing w:line="240" w:lineRule="atLeast"/>
              <w:jc w:val="center"/>
              <w:rPr>
                <w:rFonts w:eastAsia="仿宋"/>
                <w:color w:val="auto"/>
                <w:sz w:val="28"/>
                <w:szCs w:val="28"/>
              </w:rPr>
            </w:pPr>
          </w:p>
          <w:p w14:paraId="2625D3B5">
            <w:pPr>
              <w:snapToGrid w:val="0"/>
              <w:spacing w:line="240" w:lineRule="atLeast"/>
              <w:jc w:val="center"/>
              <w:rPr>
                <w:rFonts w:eastAsia="仿宋"/>
                <w:color w:val="auto"/>
                <w:sz w:val="28"/>
                <w:szCs w:val="28"/>
              </w:rPr>
            </w:pPr>
          </w:p>
          <w:p w14:paraId="19E0A876">
            <w:pPr>
              <w:snapToGrid w:val="0"/>
              <w:spacing w:line="240" w:lineRule="atLeast"/>
              <w:jc w:val="center"/>
              <w:rPr>
                <w:rFonts w:eastAsia="仿宋"/>
                <w:color w:val="auto"/>
                <w:sz w:val="28"/>
                <w:szCs w:val="28"/>
              </w:rPr>
            </w:pPr>
          </w:p>
          <w:p w14:paraId="1779EC10">
            <w:pPr>
              <w:snapToGrid w:val="0"/>
              <w:spacing w:line="240" w:lineRule="atLeast"/>
              <w:jc w:val="center"/>
              <w:rPr>
                <w:rFonts w:eastAsia="仿宋"/>
                <w:color w:val="auto"/>
                <w:sz w:val="28"/>
                <w:szCs w:val="28"/>
              </w:rPr>
            </w:pPr>
          </w:p>
          <w:p w14:paraId="453F9A5D">
            <w:pPr>
              <w:snapToGrid w:val="0"/>
              <w:spacing w:line="240" w:lineRule="atLeast"/>
              <w:jc w:val="center"/>
              <w:rPr>
                <w:rFonts w:eastAsia="仿宋"/>
                <w:color w:val="auto"/>
                <w:sz w:val="28"/>
                <w:szCs w:val="28"/>
              </w:rPr>
            </w:pPr>
          </w:p>
          <w:p w14:paraId="17FD55BB">
            <w:pPr>
              <w:snapToGrid w:val="0"/>
              <w:spacing w:line="240" w:lineRule="atLeast"/>
              <w:jc w:val="center"/>
              <w:rPr>
                <w:rFonts w:eastAsia="仿宋"/>
                <w:color w:val="auto"/>
                <w:sz w:val="28"/>
                <w:szCs w:val="28"/>
              </w:rPr>
            </w:pPr>
          </w:p>
          <w:p w14:paraId="0BC3D474">
            <w:pPr>
              <w:snapToGrid w:val="0"/>
              <w:spacing w:line="240" w:lineRule="atLeast"/>
              <w:jc w:val="center"/>
              <w:rPr>
                <w:rFonts w:eastAsia="仿宋"/>
                <w:color w:val="auto"/>
                <w:sz w:val="28"/>
                <w:szCs w:val="28"/>
              </w:rPr>
            </w:pPr>
          </w:p>
        </w:tc>
      </w:tr>
    </w:tbl>
    <w:p w14:paraId="2F8826E0">
      <w:pPr>
        <w:adjustRightInd w:val="0"/>
        <w:snapToGrid w:val="0"/>
        <w:spacing w:before="120" w:beforeLines="50" w:after="120" w:afterLines="50" w:line="360" w:lineRule="auto"/>
        <w:ind w:left="0"/>
        <w:jc w:val="center"/>
        <w:rPr>
          <w:rFonts w:eastAsia="仿宋"/>
          <w:b/>
          <w:bCs/>
          <w:color w:val="auto"/>
          <w:sz w:val="28"/>
          <w:szCs w:val="28"/>
        </w:rPr>
      </w:pPr>
      <w:r>
        <w:rPr>
          <w:rFonts w:eastAsia="仿宋"/>
          <w:b/>
          <w:bCs/>
          <w:color w:val="auto"/>
          <w:sz w:val="28"/>
          <w:szCs w:val="28"/>
        </w:rPr>
        <w:t>突发环境事件报告表（续报）</w:t>
      </w:r>
    </w:p>
    <w:tbl>
      <w:tblPr>
        <w:tblStyle w:val="21"/>
        <w:tblW w:w="85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4"/>
        <w:gridCol w:w="3014"/>
        <w:gridCol w:w="1808"/>
        <w:gridCol w:w="452"/>
        <w:gridCol w:w="1272"/>
      </w:tblGrid>
      <w:tr w14:paraId="5E4CC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56928AA9">
            <w:pPr>
              <w:jc w:val="center"/>
              <w:rPr>
                <w:rFonts w:eastAsia="仿宋"/>
                <w:color w:val="auto"/>
                <w:sz w:val="28"/>
                <w:szCs w:val="28"/>
              </w:rPr>
            </w:pPr>
            <w:r>
              <w:rPr>
                <w:rFonts w:eastAsia="仿宋"/>
                <w:color w:val="auto"/>
                <w:sz w:val="28"/>
                <w:szCs w:val="28"/>
              </w:rPr>
              <w:t>报告方式</w:t>
            </w:r>
          </w:p>
        </w:tc>
        <w:tc>
          <w:tcPr>
            <w:tcW w:w="3014" w:type="dxa"/>
            <w:noWrap w:val="0"/>
            <w:vAlign w:val="center"/>
          </w:tcPr>
          <w:p w14:paraId="4EAD6406">
            <w:pPr>
              <w:jc w:val="center"/>
              <w:rPr>
                <w:rFonts w:eastAsia="仿宋"/>
                <w:color w:val="auto"/>
                <w:sz w:val="28"/>
                <w:szCs w:val="28"/>
              </w:rPr>
            </w:pPr>
            <w:r>
              <w:rPr>
                <w:rFonts w:eastAsia="仿宋"/>
                <w:color w:val="auto"/>
                <w:sz w:val="28"/>
                <w:szCs w:val="28"/>
              </w:rPr>
              <w:t>电话报告或网络报告</w:t>
            </w:r>
          </w:p>
        </w:tc>
        <w:tc>
          <w:tcPr>
            <w:tcW w:w="1808" w:type="dxa"/>
            <w:noWrap w:val="0"/>
            <w:vAlign w:val="center"/>
          </w:tcPr>
          <w:p w14:paraId="4AD3E5CA">
            <w:pPr>
              <w:jc w:val="center"/>
              <w:rPr>
                <w:rFonts w:eastAsia="仿宋"/>
                <w:color w:val="auto"/>
                <w:sz w:val="28"/>
                <w:szCs w:val="28"/>
              </w:rPr>
            </w:pPr>
            <w:r>
              <w:rPr>
                <w:rFonts w:eastAsia="仿宋"/>
                <w:color w:val="auto"/>
                <w:sz w:val="28"/>
                <w:szCs w:val="28"/>
              </w:rPr>
              <w:t>报告人</w:t>
            </w:r>
          </w:p>
        </w:tc>
        <w:tc>
          <w:tcPr>
            <w:tcW w:w="1724" w:type="dxa"/>
            <w:gridSpan w:val="2"/>
            <w:noWrap w:val="0"/>
            <w:vAlign w:val="center"/>
          </w:tcPr>
          <w:p w14:paraId="439F8FF0">
            <w:pPr>
              <w:jc w:val="center"/>
              <w:rPr>
                <w:rFonts w:eastAsia="仿宋"/>
                <w:color w:val="auto"/>
                <w:sz w:val="28"/>
                <w:szCs w:val="28"/>
              </w:rPr>
            </w:pPr>
          </w:p>
        </w:tc>
      </w:tr>
      <w:tr w14:paraId="1955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5A98A053">
            <w:pPr>
              <w:jc w:val="center"/>
              <w:rPr>
                <w:rFonts w:eastAsia="仿宋"/>
                <w:color w:val="auto"/>
                <w:sz w:val="28"/>
                <w:szCs w:val="28"/>
              </w:rPr>
            </w:pPr>
            <w:r>
              <w:rPr>
                <w:rFonts w:eastAsia="仿宋"/>
                <w:color w:val="auto"/>
                <w:sz w:val="28"/>
                <w:szCs w:val="28"/>
              </w:rPr>
              <w:t>报告时间</w:t>
            </w:r>
          </w:p>
        </w:tc>
        <w:tc>
          <w:tcPr>
            <w:tcW w:w="6546" w:type="dxa"/>
            <w:gridSpan w:val="4"/>
            <w:noWrap w:val="0"/>
            <w:vAlign w:val="center"/>
          </w:tcPr>
          <w:p w14:paraId="04BA94DB">
            <w:pPr>
              <w:jc w:val="center"/>
              <w:rPr>
                <w:rFonts w:eastAsia="仿宋"/>
                <w:color w:val="auto"/>
                <w:sz w:val="28"/>
                <w:szCs w:val="28"/>
              </w:rPr>
            </w:pPr>
            <w:r>
              <w:rPr>
                <w:rFonts w:eastAsia="仿宋"/>
                <w:color w:val="auto"/>
                <w:sz w:val="28"/>
                <w:szCs w:val="28"/>
              </w:rPr>
              <w:t>年月日时分</w:t>
            </w:r>
          </w:p>
        </w:tc>
      </w:tr>
      <w:tr w14:paraId="003D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6E71C46C">
            <w:pPr>
              <w:jc w:val="center"/>
              <w:rPr>
                <w:rFonts w:eastAsia="仿宋"/>
                <w:color w:val="auto"/>
                <w:sz w:val="28"/>
                <w:szCs w:val="28"/>
              </w:rPr>
            </w:pPr>
            <w:r>
              <w:rPr>
                <w:rFonts w:eastAsia="仿宋"/>
                <w:color w:val="auto"/>
                <w:sz w:val="28"/>
                <w:szCs w:val="28"/>
              </w:rPr>
              <w:t>单位名称</w:t>
            </w:r>
          </w:p>
        </w:tc>
        <w:tc>
          <w:tcPr>
            <w:tcW w:w="6546" w:type="dxa"/>
            <w:gridSpan w:val="4"/>
            <w:noWrap w:val="0"/>
            <w:vAlign w:val="center"/>
          </w:tcPr>
          <w:p w14:paraId="4BC6C77D">
            <w:pPr>
              <w:jc w:val="center"/>
              <w:rPr>
                <w:rFonts w:eastAsia="仿宋"/>
                <w:color w:val="auto"/>
                <w:sz w:val="28"/>
                <w:szCs w:val="28"/>
              </w:rPr>
            </w:pPr>
          </w:p>
        </w:tc>
      </w:tr>
      <w:tr w14:paraId="79B9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0B488B17">
            <w:pPr>
              <w:jc w:val="center"/>
              <w:rPr>
                <w:rFonts w:eastAsia="仿宋"/>
                <w:color w:val="auto"/>
                <w:sz w:val="28"/>
                <w:szCs w:val="28"/>
              </w:rPr>
            </w:pPr>
            <w:r>
              <w:rPr>
                <w:rFonts w:eastAsia="仿宋"/>
                <w:color w:val="auto"/>
                <w:sz w:val="28"/>
                <w:szCs w:val="28"/>
              </w:rPr>
              <w:t>地址</w:t>
            </w:r>
          </w:p>
        </w:tc>
        <w:tc>
          <w:tcPr>
            <w:tcW w:w="6546" w:type="dxa"/>
            <w:gridSpan w:val="4"/>
            <w:noWrap w:val="0"/>
            <w:vAlign w:val="center"/>
          </w:tcPr>
          <w:p w14:paraId="013034FA">
            <w:pPr>
              <w:jc w:val="center"/>
              <w:rPr>
                <w:rFonts w:eastAsia="仿宋"/>
                <w:color w:val="auto"/>
                <w:sz w:val="28"/>
                <w:szCs w:val="28"/>
              </w:rPr>
            </w:pPr>
            <w:r>
              <w:rPr>
                <w:rFonts w:eastAsia="仿宋"/>
                <w:color w:val="auto"/>
                <w:sz w:val="28"/>
                <w:szCs w:val="28"/>
              </w:rPr>
              <w:t>省市区乡（镇）村</w:t>
            </w:r>
          </w:p>
        </w:tc>
      </w:tr>
      <w:tr w14:paraId="66D5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7069818E">
            <w:pPr>
              <w:jc w:val="center"/>
              <w:rPr>
                <w:rFonts w:eastAsia="仿宋"/>
                <w:color w:val="auto"/>
                <w:sz w:val="28"/>
                <w:szCs w:val="28"/>
              </w:rPr>
            </w:pPr>
            <w:r>
              <w:rPr>
                <w:rFonts w:eastAsia="仿宋"/>
                <w:color w:val="auto"/>
                <w:sz w:val="28"/>
                <w:szCs w:val="28"/>
              </w:rPr>
              <w:t>法人代表</w:t>
            </w:r>
          </w:p>
        </w:tc>
        <w:tc>
          <w:tcPr>
            <w:tcW w:w="3014" w:type="dxa"/>
            <w:noWrap w:val="0"/>
            <w:vAlign w:val="center"/>
          </w:tcPr>
          <w:p w14:paraId="15B6E417">
            <w:pPr>
              <w:jc w:val="center"/>
              <w:rPr>
                <w:rFonts w:eastAsia="仿宋"/>
                <w:color w:val="auto"/>
                <w:sz w:val="28"/>
                <w:szCs w:val="28"/>
              </w:rPr>
            </w:pPr>
          </w:p>
        </w:tc>
        <w:tc>
          <w:tcPr>
            <w:tcW w:w="2260" w:type="dxa"/>
            <w:gridSpan w:val="2"/>
            <w:noWrap w:val="0"/>
            <w:vAlign w:val="center"/>
          </w:tcPr>
          <w:p w14:paraId="4FC467DF">
            <w:pPr>
              <w:jc w:val="center"/>
              <w:rPr>
                <w:rFonts w:eastAsia="仿宋"/>
                <w:color w:val="auto"/>
                <w:sz w:val="28"/>
                <w:szCs w:val="28"/>
              </w:rPr>
            </w:pPr>
            <w:r>
              <w:rPr>
                <w:rFonts w:eastAsia="仿宋"/>
                <w:color w:val="auto"/>
                <w:sz w:val="28"/>
                <w:szCs w:val="28"/>
              </w:rPr>
              <w:t>联系电话</w:t>
            </w:r>
          </w:p>
        </w:tc>
        <w:tc>
          <w:tcPr>
            <w:tcW w:w="1272" w:type="dxa"/>
            <w:noWrap w:val="0"/>
            <w:vAlign w:val="center"/>
          </w:tcPr>
          <w:p w14:paraId="7D92DD0C">
            <w:pPr>
              <w:jc w:val="center"/>
              <w:rPr>
                <w:rFonts w:eastAsia="仿宋"/>
                <w:color w:val="auto"/>
                <w:sz w:val="28"/>
                <w:szCs w:val="28"/>
              </w:rPr>
            </w:pPr>
          </w:p>
        </w:tc>
      </w:tr>
      <w:tr w14:paraId="0804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42213DFF">
            <w:pPr>
              <w:jc w:val="center"/>
              <w:rPr>
                <w:rFonts w:eastAsia="仿宋"/>
                <w:color w:val="auto"/>
                <w:sz w:val="28"/>
                <w:szCs w:val="28"/>
              </w:rPr>
            </w:pPr>
            <w:r>
              <w:rPr>
                <w:rFonts w:eastAsia="仿宋"/>
                <w:color w:val="auto"/>
                <w:sz w:val="28"/>
                <w:szCs w:val="28"/>
              </w:rPr>
              <w:t>传真</w:t>
            </w:r>
          </w:p>
        </w:tc>
        <w:tc>
          <w:tcPr>
            <w:tcW w:w="3014" w:type="dxa"/>
            <w:noWrap w:val="0"/>
            <w:vAlign w:val="center"/>
          </w:tcPr>
          <w:p w14:paraId="0FF74C53">
            <w:pPr>
              <w:jc w:val="center"/>
              <w:rPr>
                <w:rFonts w:eastAsia="仿宋"/>
                <w:color w:val="auto"/>
                <w:sz w:val="28"/>
                <w:szCs w:val="28"/>
              </w:rPr>
            </w:pPr>
          </w:p>
        </w:tc>
        <w:tc>
          <w:tcPr>
            <w:tcW w:w="2260" w:type="dxa"/>
            <w:gridSpan w:val="2"/>
            <w:noWrap w:val="0"/>
            <w:vAlign w:val="center"/>
          </w:tcPr>
          <w:p w14:paraId="556653EC">
            <w:pPr>
              <w:jc w:val="center"/>
              <w:rPr>
                <w:rFonts w:eastAsia="仿宋"/>
                <w:color w:val="auto"/>
                <w:sz w:val="28"/>
                <w:szCs w:val="28"/>
              </w:rPr>
            </w:pPr>
            <w:r>
              <w:rPr>
                <w:rFonts w:eastAsia="仿宋"/>
                <w:color w:val="auto"/>
                <w:sz w:val="28"/>
                <w:szCs w:val="28"/>
              </w:rPr>
              <w:t>Email</w:t>
            </w:r>
          </w:p>
        </w:tc>
        <w:tc>
          <w:tcPr>
            <w:tcW w:w="1272" w:type="dxa"/>
            <w:noWrap w:val="0"/>
            <w:vAlign w:val="center"/>
          </w:tcPr>
          <w:p w14:paraId="08EE07B6">
            <w:pPr>
              <w:jc w:val="center"/>
              <w:rPr>
                <w:rFonts w:eastAsia="仿宋"/>
                <w:color w:val="auto"/>
                <w:sz w:val="28"/>
                <w:szCs w:val="28"/>
              </w:rPr>
            </w:pPr>
          </w:p>
        </w:tc>
      </w:tr>
      <w:tr w14:paraId="72ED7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0A07A687">
            <w:pPr>
              <w:jc w:val="center"/>
              <w:rPr>
                <w:rFonts w:eastAsia="仿宋"/>
                <w:color w:val="auto"/>
                <w:sz w:val="28"/>
                <w:szCs w:val="28"/>
              </w:rPr>
            </w:pPr>
            <w:r>
              <w:rPr>
                <w:rFonts w:eastAsia="仿宋"/>
                <w:color w:val="auto"/>
                <w:sz w:val="28"/>
                <w:szCs w:val="28"/>
              </w:rPr>
              <w:t>发生位置</w:t>
            </w:r>
          </w:p>
        </w:tc>
        <w:tc>
          <w:tcPr>
            <w:tcW w:w="3014" w:type="dxa"/>
            <w:noWrap w:val="0"/>
            <w:vAlign w:val="center"/>
          </w:tcPr>
          <w:p w14:paraId="5CEA76E0">
            <w:pPr>
              <w:jc w:val="center"/>
              <w:rPr>
                <w:rFonts w:eastAsia="仿宋"/>
                <w:color w:val="auto"/>
                <w:sz w:val="28"/>
                <w:szCs w:val="28"/>
              </w:rPr>
            </w:pPr>
          </w:p>
        </w:tc>
        <w:tc>
          <w:tcPr>
            <w:tcW w:w="2260" w:type="dxa"/>
            <w:gridSpan w:val="2"/>
            <w:noWrap w:val="0"/>
            <w:vAlign w:val="center"/>
          </w:tcPr>
          <w:p w14:paraId="7B7E21AD">
            <w:pPr>
              <w:jc w:val="center"/>
              <w:rPr>
                <w:rFonts w:eastAsia="仿宋"/>
                <w:color w:val="auto"/>
                <w:sz w:val="28"/>
                <w:szCs w:val="28"/>
              </w:rPr>
            </w:pPr>
            <w:r>
              <w:rPr>
                <w:rFonts w:eastAsia="仿宋"/>
                <w:color w:val="auto"/>
                <w:sz w:val="28"/>
                <w:szCs w:val="28"/>
              </w:rPr>
              <w:t>设备设施名称</w:t>
            </w:r>
          </w:p>
        </w:tc>
        <w:tc>
          <w:tcPr>
            <w:tcW w:w="1272" w:type="dxa"/>
            <w:noWrap w:val="0"/>
            <w:vAlign w:val="center"/>
          </w:tcPr>
          <w:p w14:paraId="13486DE0">
            <w:pPr>
              <w:jc w:val="center"/>
              <w:rPr>
                <w:rFonts w:eastAsia="仿宋"/>
                <w:color w:val="auto"/>
                <w:sz w:val="28"/>
                <w:szCs w:val="28"/>
              </w:rPr>
            </w:pPr>
          </w:p>
        </w:tc>
      </w:tr>
      <w:tr w14:paraId="0AEC4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744A3B63">
            <w:pPr>
              <w:jc w:val="center"/>
              <w:rPr>
                <w:rFonts w:eastAsia="仿宋"/>
                <w:color w:val="auto"/>
                <w:sz w:val="28"/>
                <w:szCs w:val="28"/>
              </w:rPr>
            </w:pPr>
            <w:r>
              <w:rPr>
                <w:rFonts w:eastAsia="仿宋"/>
                <w:color w:val="auto"/>
                <w:sz w:val="28"/>
                <w:szCs w:val="28"/>
              </w:rPr>
              <w:t>物料名称</w:t>
            </w:r>
          </w:p>
        </w:tc>
        <w:tc>
          <w:tcPr>
            <w:tcW w:w="6546" w:type="dxa"/>
            <w:gridSpan w:val="4"/>
            <w:noWrap w:val="0"/>
            <w:vAlign w:val="center"/>
          </w:tcPr>
          <w:p w14:paraId="3608A315">
            <w:pPr>
              <w:jc w:val="center"/>
              <w:rPr>
                <w:rFonts w:eastAsia="仿宋"/>
                <w:color w:val="auto"/>
                <w:sz w:val="28"/>
                <w:szCs w:val="28"/>
              </w:rPr>
            </w:pPr>
          </w:p>
        </w:tc>
      </w:tr>
      <w:tr w14:paraId="08CC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954" w:type="dxa"/>
            <w:noWrap w:val="0"/>
            <w:vAlign w:val="center"/>
          </w:tcPr>
          <w:p w14:paraId="1AA02EBE">
            <w:pPr>
              <w:jc w:val="center"/>
              <w:rPr>
                <w:rFonts w:eastAsia="仿宋"/>
                <w:color w:val="auto"/>
                <w:sz w:val="28"/>
                <w:szCs w:val="28"/>
              </w:rPr>
            </w:pPr>
            <w:r>
              <w:rPr>
                <w:rFonts w:eastAsia="仿宋"/>
                <w:color w:val="auto"/>
                <w:sz w:val="28"/>
                <w:szCs w:val="28"/>
              </w:rPr>
              <w:t>类型</w:t>
            </w:r>
          </w:p>
        </w:tc>
        <w:tc>
          <w:tcPr>
            <w:tcW w:w="6546" w:type="dxa"/>
            <w:gridSpan w:val="4"/>
            <w:noWrap w:val="0"/>
            <w:vAlign w:val="center"/>
          </w:tcPr>
          <w:p w14:paraId="121C4720">
            <w:pPr>
              <w:jc w:val="center"/>
              <w:rPr>
                <w:rFonts w:eastAsia="仿宋"/>
                <w:color w:val="auto"/>
                <w:sz w:val="28"/>
                <w:szCs w:val="28"/>
              </w:rPr>
            </w:pPr>
            <w:r>
              <w:rPr>
                <w:rFonts w:eastAsia="仿宋"/>
                <w:color w:val="auto"/>
                <w:sz w:val="28"/>
                <w:szCs w:val="28"/>
              </w:rPr>
              <w:t>泄漏□火灾□爆炸□其他□</w:t>
            </w:r>
          </w:p>
        </w:tc>
      </w:tr>
      <w:tr w14:paraId="4D6C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25A18479">
            <w:pPr>
              <w:jc w:val="center"/>
              <w:rPr>
                <w:rFonts w:eastAsia="仿宋"/>
                <w:color w:val="auto"/>
                <w:sz w:val="28"/>
                <w:szCs w:val="28"/>
              </w:rPr>
            </w:pPr>
            <w:r>
              <w:rPr>
                <w:rFonts w:eastAsia="仿宋"/>
                <w:color w:val="auto"/>
                <w:sz w:val="28"/>
                <w:szCs w:val="28"/>
              </w:rPr>
              <w:t>污染物名称</w:t>
            </w:r>
          </w:p>
        </w:tc>
        <w:tc>
          <w:tcPr>
            <w:tcW w:w="3014" w:type="dxa"/>
            <w:noWrap w:val="0"/>
            <w:vAlign w:val="center"/>
          </w:tcPr>
          <w:p w14:paraId="7549C63B">
            <w:pPr>
              <w:jc w:val="center"/>
              <w:rPr>
                <w:rFonts w:eastAsia="仿宋"/>
                <w:color w:val="auto"/>
                <w:sz w:val="28"/>
                <w:szCs w:val="28"/>
              </w:rPr>
            </w:pPr>
            <w:r>
              <w:rPr>
                <w:rFonts w:eastAsia="仿宋"/>
                <w:color w:val="auto"/>
                <w:sz w:val="28"/>
                <w:szCs w:val="28"/>
              </w:rPr>
              <w:t>数量</w:t>
            </w:r>
          </w:p>
        </w:tc>
        <w:tc>
          <w:tcPr>
            <w:tcW w:w="3532" w:type="dxa"/>
            <w:gridSpan w:val="3"/>
            <w:noWrap w:val="0"/>
            <w:vAlign w:val="center"/>
          </w:tcPr>
          <w:p w14:paraId="661BF8A1">
            <w:pPr>
              <w:jc w:val="center"/>
              <w:rPr>
                <w:rFonts w:eastAsia="仿宋"/>
                <w:color w:val="auto"/>
                <w:sz w:val="28"/>
                <w:szCs w:val="28"/>
              </w:rPr>
            </w:pPr>
            <w:r>
              <w:rPr>
                <w:rFonts w:eastAsia="仿宋"/>
                <w:color w:val="auto"/>
                <w:sz w:val="28"/>
                <w:szCs w:val="28"/>
              </w:rPr>
              <w:t>排放去向</w:t>
            </w:r>
          </w:p>
        </w:tc>
      </w:tr>
      <w:tr w14:paraId="2DCE5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38BB8871">
            <w:pPr>
              <w:jc w:val="center"/>
              <w:rPr>
                <w:rFonts w:eastAsia="仿宋"/>
                <w:color w:val="auto"/>
                <w:sz w:val="28"/>
                <w:szCs w:val="28"/>
              </w:rPr>
            </w:pPr>
          </w:p>
        </w:tc>
        <w:tc>
          <w:tcPr>
            <w:tcW w:w="3014" w:type="dxa"/>
            <w:noWrap w:val="0"/>
            <w:vAlign w:val="center"/>
          </w:tcPr>
          <w:p w14:paraId="45530E86">
            <w:pPr>
              <w:jc w:val="center"/>
              <w:rPr>
                <w:rFonts w:eastAsia="仿宋"/>
                <w:color w:val="auto"/>
                <w:sz w:val="28"/>
                <w:szCs w:val="28"/>
              </w:rPr>
            </w:pPr>
          </w:p>
        </w:tc>
        <w:tc>
          <w:tcPr>
            <w:tcW w:w="3532" w:type="dxa"/>
            <w:gridSpan w:val="3"/>
            <w:noWrap w:val="0"/>
            <w:vAlign w:val="center"/>
          </w:tcPr>
          <w:p w14:paraId="2474CF89">
            <w:pPr>
              <w:jc w:val="center"/>
              <w:rPr>
                <w:rFonts w:eastAsia="仿宋"/>
                <w:color w:val="auto"/>
                <w:sz w:val="28"/>
                <w:szCs w:val="28"/>
              </w:rPr>
            </w:pPr>
          </w:p>
        </w:tc>
      </w:tr>
      <w:tr w14:paraId="0DF32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6534C633">
            <w:pPr>
              <w:jc w:val="center"/>
              <w:rPr>
                <w:rFonts w:eastAsia="仿宋"/>
                <w:color w:val="auto"/>
                <w:sz w:val="28"/>
                <w:szCs w:val="28"/>
              </w:rPr>
            </w:pPr>
          </w:p>
        </w:tc>
        <w:tc>
          <w:tcPr>
            <w:tcW w:w="3014" w:type="dxa"/>
            <w:noWrap w:val="0"/>
            <w:vAlign w:val="center"/>
          </w:tcPr>
          <w:p w14:paraId="5B6C944E">
            <w:pPr>
              <w:jc w:val="center"/>
              <w:rPr>
                <w:rFonts w:eastAsia="仿宋"/>
                <w:color w:val="auto"/>
                <w:sz w:val="28"/>
                <w:szCs w:val="28"/>
              </w:rPr>
            </w:pPr>
          </w:p>
        </w:tc>
        <w:tc>
          <w:tcPr>
            <w:tcW w:w="3532" w:type="dxa"/>
            <w:gridSpan w:val="3"/>
            <w:noWrap w:val="0"/>
            <w:vAlign w:val="center"/>
          </w:tcPr>
          <w:p w14:paraId="7A9C4C17">
            <w:pPr>
              <w:jc w:val="center"/>
              <w:rPr>
                <w:rFonts w:eastAsia="仿宋"/>
                <w:color w:val="auto"/>
                <w:sz w:val="28"/>
                <w:szCs w:val="28"/>
              </w:rPr>
            </w:pPr>
          </w:p>
        </w:tc>
      </w:tr>
      <w:tr w14:paraId="61736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1E15C53A">
            <w:pPr>
              <w:jc w:val="center"/>
              <w:rPr>
                <w:rFonts w:eastAsia="仿宋"/>
                <w:color w:val="auto"/>
                <w:sz w:val="28"/>
                <w:szCs w:val="28"/>
              </w:rPr>
            </w:pPr>
          </w:p>
        </w:tc>
        <w:tc>
          <w:tcPr>
            <w:tcW w:w="3014" w:type="dxa"/>
            <w:noWrap w:val="0"/>
            <w:vAlign w:val="center"/>
          </w:tcPr>
          <w:p w14:paraId="64C70AC7">
            <w:pPr>
              <w:jc w:val="center"/>
              <w:rPr>
                <w:rFonts w:eastAsia="仿宋"/>
                <w:color w:val="auto"/>
                <w:sz w:val="28"/>
                <w:szCs w:val="28"/>
              </w:rPr>
            </w:pPr>
          </w:p>
        </w:tc>
        <w:tc>
          <w:tcPr>
            <w:tcW w:w="3532" w:type="dxa"/>
            <w:gridSpan w:val="3"/>
            <w:noWrap w:val="0"/>
            <w:vAlign w:val="center"/>
          </w:tcPr>
          <w:p w14:paraId="5316D360">
            <w:pPr>
              <w:jc w:val="center"/>
              <w:rPr>
                <w:rFonts w:eastAsia="仿宋"/>
                <w:color w:val="auto"/>
                <w:sz w:val="28"/>
                <w:szCs w:val="28"/>
              </w:rPr>
            </w:pPr>
          </w:p>
        </w:tc>
      </w:tr>
      <w:tr w14:paraId="7345F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38174AB9">
            <w:pPr>
              <w:jc w:val="center"/>
              <w:rPr>
                <w:rFonts w:eastAsia="仿宋"/>
                <w:color w:val="auto"/>
                <w:sz w:val="28"/>
                <w:szCs w:val="28"/>
              </w:rPr>
            </w:pPr>
          </w:p>
        </w:tc>
        <w:tc>
          <w:tcPr>
            <w:tcW w:w="3014" w:type="dxa"/>
            <w:noWrap w:val="0"/>
            <w:vAlign w:val="center"/>
          </w:tcPr>
          <w:p w14:paraId="7E2FBEB9">
            <w:pPr>
              <w:jc w:val="center"/>
              <w:rPr>
                <w:rFonts w:eastAsia="仿宋"/>
                <w:color w:val="auto"/>
                <w:sz w:val="28"/>
                <w:szCs w:val="28"/>
              </w:rPr>
            </w:pPr>
          </w:p>
        </w:tc>
        <w:tc>
          <w:tcPr>
            <w:tcW w:w="3532" w:type="dxa"/>
            <w:gridSpan w:val="3"/>
            <w:noWrap w:val="0"/>
            <w:vAlign w:val="center"/>
          </w:tcPr>
          <w:p w14:paraId="70239B3B">
            <w:pPr>
              <w:jc w:val="center"/>
              <w:rPr>
                <w:rFonts w:eastAsia="仿宋"/>
                <w:color w:val="auto"/>
                <w:sz w:val="28"/>
                <w:szCs w:val="28"/>
              </w:rPr>
            </w:pPr>
          </w:p>
        </w:tc>
      </w:tr>
      <w:tr w14:paraId="2EBD9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3BA4317E">
            <w:pPr>
              <w:jc w:val="center"/>
              <w:rPr>
                <w:rFonts w:eastAsia="仿宋"/>
                <w:color w:val="auto"/>
                <w:sz w:val="28"/>
                <w:szCs w:val="28"/>
              </w:rPr>
            </w:pPr>
          </w:p>
        </w:tc>
        <w:tc>
          <w:tcPr>
            <w:tcW w:w="3014" w:type="dxa"/>
            <w:noWrap w:val="0"/>
            <w:vAlign w:val="center"/>
          </w:tcPr>
          <w:p w14:paraId="4604FA94">
            <w:pPr>
              <w:jc w:val="center"/>
              <w:rPr>
                <w:rFonts w:eastAsia="仿宋"/>
                <w:color w:val="auto"/>
                <w:sz w:val="28"/>
                <w:szCs w:val="28"/>
              </w:rPr>
            </w:pPr>
          </w:p>
        </w:tc>
        <w:tc>
          <w:tcPr>
            <w:tcW w:w="3532" w:type="dxa"/>
            <w:gridSpan w:val="3"/>
            <w:noWrap w:val="0"/>
            <w:vAlign w:val="center"/>
          </w:tcPr>
          <w:p w14:paraId="7463E994">
            <w:pPr>
              <w:jc w:val="center"/>
              <w:rPr>
                <w:rFonts w:eastAsia="仿宋"/>
                <w:color w:val="auto"/>
                <w:sz w:val="28"/>
                <w:szCs w:val="28"/>
              </w:rPr>
            </w:pPr>
          </w:p>
        </w:tc>
      </w:tr>
      <w:tr w14:paraId="5ADED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5D7FD629">
            <w:pPr>
              <w:jc w:val="center"/>
              <w:rPr>
                <w:rFonts w:eastAsia="仿宋"/>
                <w:color w:val="auto"/>
                <w:sz w:val="28"/>
                <w:szCs w:val="28"/>
              </w:rPr>
            </w:pPr>
          </w:p>
        </w:tc>
        <w:tc>
          <w:tcPr>
            <w:tcW w:w="3014" w:type="dxa"/>
            <w:noWrap w:val="0"/>
            <w:vAlign w:val="center"/>
          </w:tcPr>
          <w:p w14:paraId="139EF10C">
            <w:pPr>
              <w:jc w:val="center"/>
              <w:rPr>
                <w:rFonts w:eastAsia="仿宋"/>
                <w:color w:val="auto"/>
                <w:sz w:val="28"/>
                <w:szCs w:val="28"/>
              </w:rPr>
            </w:pPr>
          </w:p>
        </w:tc>
        <w:tc>
          <w:tcPr>
            <w:tcW w:w="3532" w:type="dxa"/>
            <w:gridSpan w:val="3"/>
            <w:noWrap w:val="0"/>
            <w:vAlign w:val="center"/>
          </w:tcPr>
          <w:p w14:paraId="6C17C114">
            <w:pPr>
              <w:jc w:val="center"/>
              <w:rPr>
                <w:rFonts w:eastAsia="仿宋"/>
                <w:color w:val="auto"/>
                <w:sz w:val="28"/>
                <w:szCs w:val="28"/>
              </w:rPr>
            </w:pPr>
          </w:p>
        </w:tc>
      </w:tr>
      <w:tr w14:paraId="1AD67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241F7D1D">
            <w:pPr>
              <w:jc w:val="center"/>
              <w:rPr>
                <w:rFonts w:eastAsia="仿宋"/>
                <w:color w:val="auto"/>
                <w:sz w:val="28"/>
                <w:szCs w:val="28"/>
              </w:rPr>
            </w:pPr>
          </w:p>
        </w:tc>
        <w:tc>
          <w:tcPr>
            <w:tcW w:w="3014" w:type="dxa"/>
            <w:noWrap w:val="0"/>
            <w:vAlign w:val="center"/>
          </w:tcPr>
          <w:p w14:paraId="1AF9E3DB">
            <w:pPr>
              <w:jc w:val="center"/>
              <w:rPr>
                <w:rFonts w:eastAsia="仿宋"/>
                <w:color w:val="auto"/>
                <w:sz w:val="28"/>
                <w:szCs w:val="28"/>
              </w:rPr>
            </w:pPr>
          </w:p>
        </w:tc>
        <w:tc>
          <w:tcPr>
            <w:tcW w:w="3532" w:type="dxa"/>
            <w:gridSpan w:val="3"/>
            <w:noWrap w:val="0"/>
            <w:vAlign w:val="center"/>
          </w:tcPr>
          <w:p w14:paraId="04F0A1B1">
            <w:pPr>
              <w:jc w:val="center"/>
              <w:rPr>
                <w:rFonts w:eastAsia="仿宋"/>
                <w:color w:val="auto"/>
                <w:sz w:val="28"/>
                <w:szCs w:val="28"/>
              </w:rPr>
            </w:pPr>
          </w:p>
        </w:tc>
      </w:tr>
      <w:tr w14:paraId="47CC5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954" w:type="dxa"/>
            <w:noWrap w:val="0"/>
            <w:vAlign w:val="center"/>
          </w:tcPr>
          <w:p w14:paraId="626C00F4">
            <w:pPr>
              <w:jc w:val="center"/>
              <w:rPr>
                <w:rFonts w:eastAsia="仿宋"/>
                <w:color w:val="auto"/>
                <w:sz w:val="28"/>
                <w:szCs w:val="28"/>
              </w:rPr>
            </w:pPr>
          </w:p>
        </w:tc>
        <w:tc>
          <w:tcPr>
            <w:tcW w:w="3014" w:type="dxa"/>
            <w:noWrap w:val="0"/>
            <w:vAlign w:val="center"/>
          </w:tcPr>
          <w:p w14:paraId="209A9DC0">
            <w:pPr>
              <w:jc w:val="center"/>
              <w:rPr>
                <w:rFonts w:eastAsia="仿宋"/>
                <w:color w:val="auto"/>
                <w:sz w:val="28"/>
                <w:szCs w:val="28"/>
              </w:rPr>
            </w:pPr>
          </w:p>
        </w:tc>
        <w:tc>
          <w:tcPr>
            <w:tcW w:w="3532" w:type="dxa"/>
            <w:gridSpan w:val="3"/>
            <w:noWrap w:val="0"/>
            <w:vAlign w:val="center"/>
          </w:tcPr>
          <w:p w14:paraId="69D3B7FA">
            <w:pPr>
              <w:jc w:val="center"/>
              <w:rPr>
                <w:rFonts w:eastAsia="仿宋"/>
                <w:color w:val="auto"/>
                <w:sz w:val="28"/>
                <w:szCs w:val="28"/>
              </w:rPr>
            </w:pPr>
          </w:p>
        </w:tc>
      </w:tr>
      <w:tr w14:paraId="3FA7D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trPr>
        <w:tc>
          <w:tcPr>
            <w:tcW w:w="1954" w:type="dxa"/>
            <w:noWrap w:val="0"/>
            <w:vAlign w:val="center"/>
          </w:tcPr>
          <w:p w14:paraId="3DE3CB8E">
            <w:pPr>
              <w:jc w:val="center"/>
              <w:rPr>
                <w:rFonts w:eastAsia="仿宋"/>
                <w:color w:val="auto"/>
                <w:sz w:val="28"/>
                <w:szCs w:val="28"/>
              </w:rPr>
            </w:pPr>
            <w:r>
              <w:rPr>
                <w:rFonts w:eastAsia="仿宋"/>
                <w:color w:val="auto"/>
                <w:sz w:val="28"/>
                <w:szCs w:val="28"/>
              </w:rPr>
              <w:t>事件发生原因</w:t>
            </w:r>
          </w:p>
        </w:tc>
        <w:tc>
          <w:tcPr>
            <w:tcW w:w="6546" w:type="dxa"/>
            <w:gridSpan w:val="4"/>
            <w:noWrap w:val="0"/>
            <w:vAlign w:val="center"/>
          </w:tcPr>
          <w:p w14:paraId="37FD6C0A">
            <w:pPr>
              <w:jc w:val="center"/>
              <w:rPr>
                <w:rFonts w:eastAsia="仿宋"/>
                <w:color w:val="auto"/>
                <w:sz w:val="28"/>
                <w:szCs w:val="28"/>
              </w:rPr>
            </w:pPr>
          </w:p>
        </w:tc>
      </w:tr>
      <w:tr w14:paraId="1370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trPr>
        <w:tc>
          <w:tcPr>
            <w:tcW w:w="1954" w:type="dxa"/>
            <w:noWrap w:val="0"/>
            <w:vAlign w:val="center"/>
          </w:tcPr>
          <w:p w14:paraId="6E2182BA">
            <w:pPr>
              <w:jc w:val="center"/>
              <w:rPr>
                <w:rFonts w:eastAsia="仿宋"/>
                <w:color w:val="auto"/>
                <w:sz w:val="28"/>
                <w:szCs w:val="28"/>
              </w:rPr>
            </w:pPr>
            <w:r>
              <w:rPr>
                <w:rFonts w:eastAsia="仿宋"/>
                <w:color w:val="auto"/>
                <w:sz w:val="28"/>
                <w:szCs w:val="28"/>
              </w:rPr>
              <w:t>事件发生过程</w:t>
            </w:r>
          </w:p>
        </w:tc>
        <w:tc>
          <w:tcPr>
            <w:tcW w:w="6546" w:type="dxa"/>
            <w:gridSpan w:val="4"/>
            <w:noWrap w:val="0"/>
            <w:vAlign w:val="center"/>
          </w:tcPr>
          <w:p w14:paraId="6B1505F8">
            <w:pPr>
              <w:jc w:val="center"/>
              <w:rPr>
                <w:rFonts w:eastAsia="仿宋"/>
                <w:color w:val="auto"/>
                <w:sz w:val="28"/>
                <w:szCs w:val="28"/>
              </w:rPr>
            </w:pPr>
          </w:p>
        </w:tc>
      </w:tr>
      <w:tr w14:paraId="1BEF0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trPr>
        <w:tc>
          <w:tcPr>
            <w:tcW w:w="1954" w:type="dxa"/>
            <w:noWrap w:val="0"/>
            <w:vAlign w:val="center"/>
          </w:tcPr>
          <w:p w14:paraId="1C9347AF">
            <w:pPr>
              <w:jc w:val="center"/>
              <w:rPr>
                <w:rFonts w:eastAsia="仿宋"/>
                <w:color w:val="auto"/>
                <w:sz w:val="28"/>
                <w:szCs w:val="28"/>
              </w:rPr>
            </w:pPr>
            <w:r>
              <w:rPr>
                <w:rFonts w:eastAsia="仿宋"/>
                <w:color w:val="auto"/>
                <w:sz w:val="28"/>
                <w:szCs w:val="28"/>
              </w:rPr>
              <w:t>事件进展情况</w:t>
            </w:r>
          </w:p>
        </w:tc>
        <w:tc>
          <w:tcPr>
            <w:tcW w:w="6546" w:type="dxa"/>
            <w:gridSpan w:val="4"/>
            <w:noWrap w:val="0"/>
            <w:vAlign w:val="center"/>
          </w:tcPr>
          <w:p w14:paraId="67DA9D0B">
            <w:pPr>
              <w:jc w:val="center"/>
              <w:rPr>
                <w:rFonts w:eastAsia="仿宋"/>
                <w:color w:val="auto"/>
                <w:sz w:val="28"/>
                <w:szCs w:val="28"/>
              </w:rPr>
            </w:pPr>
          </w:p>
        </w:tc>
      </w:tr>
      <w:tr w14:paraId="3FDE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trPr>
        <w:tc>
          <w:tcPr>
            <w:tcW w:w="1954" w:type="dxa"/>
            <w:noWrap w:val="0"/>
            <w:vAlign w:val="center"/>
          </w:tcPr>
          <w:p w14:paraId="5BFC2964">
            <w:pPr>
              <w:jc w:val="center"/>
              <w:rPr>
                <w:rFonts w:eastAsia="仿宋"/>
                <w:color w:val="auto"/>
                <w:sz w:val="28"/>
                <w:szCs w:val="28"/>
              </w:rPr>
            </w:pPr>
            <w:r>
              <w:rPr>
                <w:rFonts w:eastAsia="仿宋"/>
                <w:color w:val="auto"/>
                <w:sz w:val="28"/>
                <w:szCs w:val="28"/>
              </w:rPr>
              <w:t>采取的应急措施</w:t>
            </w:r>
          </w:p>
        </w:tc>
        <w:tc>
          <w:tcPr>
            <w:tcW w:w="6546" w:type="dxa"/>
            <w:gridSpan w:val="4"/>
            <w:noWrap w:val="0"/>
            <w:vAlign w:val="center"/>
          </w:tcPr>
          <w:p w14:paraId="0E86458E">
            <w:pPr>
              <w:jc w:val="center"/>
              <w:rPr>
                <w:rFonts w:eastAsia="仿宋"/>
                <w:color w:val="auto"/>
                <w:sz w:val="28"/>
                <w:szCs w:val="28"/>
              </w:rPr>
            </w:pPr>
          </w:p>
        </w:tc>
      </w:tr>
    </w:tbl>
    <w:p w14:paraId="4A082EED">
      <w:pPr>
        <w:adjustRightInd w:val="0"/>
        <w:snapToGrid w:val="0"/>
        <w:spacing w:before="120" w:beforeLines="50" w:after="120" w:afterLines="50" w:line="360" w:lineRule="auto"/>
        <w:ind w:left="0"/>
        <w:jc w:val="center"/>
        <w:rPr>
          <w:rFonts w:eastAsia="仿宋"/>
          <w:b/>
          <w:bCs/>
          <w:color w:val="auto"/>
          <w:sz w:val="28"/>
          <w:szCs w:val="28"/>
        </w:rPr>
      </w:pPr>
      <w:r>
        <w:rPr>
          <w:rFonts w:eastAsia="仿宋"/>
          <w:b/>
          <w:color w:val="auto"/>
          <w:sz w:val="28"/>
          <w:szCs w:val="28"/>
        </w:rPr>
        <w:br w:type="page"/>
      </w:r>
      <w:r>
        <w:rPr>
          <w:rFonts w:eastAsia="仿宋"/>
          <w:b/>
          <w:bCs/>
          <w:color w:val="auto"/>
          <w:sz w:val="28"/>
          <w:szCs w:val="28"/>
        </w:rPr>
        <w:t>突发环境事件报告表（处理结果报告）</w:t>
      </w:r>
    </w:p>
    <w:tbl>
      <w:tblPr>
        <w:tblStyle w:val="21"/>
        <w:tblW w:w="85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4"/>
        <w:gridCol w:w="3015"/>
        <w:gridCol w:w="1809"/>
        <w:gridCol w:w="452"/>
        <w:gridCol w:w="1270"/>
      </w:tblGrid>
      <w:tr w14:paraId="26C10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954" w:type="dxa"/>
            <w:noWrap w:val="0"/>
            <w:vAlign w:val="center"/>
          </w:tcPr>
          <w:p w14:paraId="4C13B77C">
            <w:pPr>
              <w:jc w:val="center"/>
              <w:rPr>
                <w:rFonts w:eastAsia="仿宋"/>
                <w:color w:val="auto"/>
                <w:sz w:val="28"/>
                <w:szCs w:val="28"/>
              </w:rPr>
            </w:pPr>
            <w:r>
              <w:rPr>
                <w:rFonts w:eastAsia="仿宋"/>
                <w:color w:val="auto"/>
                <w:sz w:val="28"/>
                <w:szCs w:val="28"/>
              </w:rPr>
              <w:t>报告方式</w:t>
            </w:r>
          </w:p>
        </w:tc>
        <w:tc>
          <w:tcPr>
            <w:tcW w:w="3015" w:type="dxa"/>
            <w:noWrap w:val="0"/>
            <w:vAlign w:val="center"/>
          </w:tcPr>
          <w:p w14:paraId="3E0687DE">
            <w:pPr>
              <w:jc w:val="center"/>
              <w:rPr>
                <w:rFonts w:eastAsia="仿宋"/>
                <w:color w:val="auto"/>
                <w:sz w:val="28"/>
                <w:szCs w:val="28"/>
              </w:rPr>
            </w:pPr>
            <w:r>
              <w:rPr>
                <w:rFonts w:eastAsia="仿宋"/>
                <w:color w:val="auto"/>
                <w:sz w:val="28"/>
                <w:szCs w:val="28"/>
              </w:rPr>
              <w:t>电话报告或网络报告</w:t>
            </w:r>
          </w:p>
        </w:tc>
        <w:tc>
          <w:tcPr>
            <w:tcW w:w="1809" w:type="dxa"/>
            <w:noWrap w:val="0"/>
            <w:vAlign w:val="center"/>
          </w:tcPr>
          <w:p w14:paraId="4C532604">
            <w:pPr>
              <w:jc w:val="center"/>
              <w:rPr>
                <w:rFonts w:eastAsia="仿宋"/>
                <w:color w:val="auto"/>
                <w:sz w:val="28"/>
                <w:szCs w:val="28"/>
              </w:rPr>
            </w:pPr>
            <w:r>
              <w:rPr>
                <w:rFonts w:eastAsia="仿宋"/>
                <w:color w:val="auto"/>
                <w:sz w:val="28"/>
                <w:szCs w:val="28"/>
              </w:rPr>
              <w:t>报告人</w:t>
            </w:r>
          </w:p>
        </w:tc>
        <w:tc>
          <w:tcPr>
            <w:tcW w:w="1722" w:type="dxa"/>
            <w:gridSpan w:val="2"/>
            <w:noWrap w:val="0"/>
            <w:vAlign w:val="center"/>
          </w:tcPr>
          <w:p w14:paraId="7B6304C7">
            <w:pPr>
              <w:jc w:val="center"/>
              <w:rPr>
                <w:rFonts w:eastAsia="仿宋"/>
                <w:color w:val="auto"/>
                <w:sz w:val="28"/>
                <w:szCs w:val="28"/>
              </w:rPr>
            </w:pPr>
          </w:p>
        </w:tc>
      </w:tr>
      <w:tr w14:paraId="5983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954" w:type="dxa"/>
            <w:noWrap w:val="0"/>
            <w:vAlign w:val="center"/>
          </w:tcPr>
          <w:p w14:paraId="3B138E82">
            <w:pPr>
              <w:jc w:val="center"/>
              <w:rPr>
                <w:rFonts w:eastAsia="仿宋"/>
                <w:color w:val="auto"/>
                <w:sz w:val="28"/>
                <w:szCs w:val="28"/>
              </w:rPr>
            </w:pPr>
            <w:r>
              <w:rPr>
                <w:rFonts w:eastAsia="仿宋"/>
                <w:color w:val="auto"/>
                <w:sz w:val="28"/>
                <w:szCs w:val="28"/>
              </w:rPr>
              <w:t>报告时间</w:t>
            </w:r>
          </w:p>
        </w:tc>
        <w:tc>
          <w:tcPr>
            <w:tcW w:w="6546" w:type="dxa"/>
            <w:gridSpan w:val="4"/>
            <w:noWrap w:val="0"/>
            <w:vAlign w:val="center"/>
          </w:tcPr>
          <w:p w14:paraId="034BB89E">
            <w:pPr>
              <w:jc w:val="center"/>
              <w:rPr>
                <w:rFonts w:eastAsia="仿宋"/>
                <w:color w:val="auto"/>
                <w:sz w:val="28"/>
                <w:szCs w:val="28"/>
              </w:rPr>
            </w:pPr>
            <w:r>
              <w:rPr>
                <w:rFonts w:eastAsia="仿宋"/>
                <w:color w:val="auto"/>
                <w:sz w:val="28"/>
                <w:szCs w:val="28"/>
              </w:rPr>
              <w:t>年</w:t>
            </w:r>
            <w:r>
              <w:rPr>
                <w:rFonts w:hint="eastAsia" w:eastAsia="仿宋"/>
                <w:color w:val="auto"/>
                <w:sz w:val="28"/>
                <w:szCs w:val="28"/>
              </w:rPr>
              <w:t xml:space="preserve">   </w:t>
            </w:r>
            <w:r>
              <w:rPr>
                <w:rFonts w:eastAsia="仿宋"/>
                <w:color w:val="auto"/>
                <w:sz w:val="28"/>
                <w:szCs w:val="28"/>
              </w:rPr>
              <w:t>月</w:t>
            </w:r>
            <w:r>
              <w:rPr>
                <w:rFonts w:hint="eastAsia" w:eastAsia="仿宋"/>
                <w:color w:val="auto"/>
                <w:sz w:val="28"/>
                <w:szCs w:val="28"/>
              </w:rPr>
              <w:t xml:space="preserve">   </w:t>
            </w:r>
            <w:r>
              <w:rPr>
                <w:rFonts w:eastAsia="仿宋"/>
                <w:color w:val="auto"/>
                <w:sz w:val="28"/>
                <w:szCs w:val="28"/>
              </w:rPr>
              <w:t>日</w:t>
            </w:r>
            <w:r>
              <w:rPr>
                <w:rFonts w:hint="eastAsia" w:eastAsia="仿宋"/>
                <w:color w:val="auto"/>
                <w:sz w:val="28"/>
                <w:szCs w:val="28"/>
              </w:rPr>
              <w:t xml:space="preserve">   </w:t>
            </w:r>
            <w:r>
              <w:rPr>
                <w:rFonts w:eastAsia="仿宋"/>
                <w:color w:val="auto"/>
                <w:sz w:val="28"/>
                <w:szCs w:val="28"/>
              </w:rPr>
              <w:t>时</w:t>
            </w:r>
            <w:r>
              <w:rPr>
                <w:rFonts w:hint="eastAsia" w:eastAsia="仿宋"/>
                <w:color w:val="auto"/>
                <w:sz w:val="28"/>
                <w:szCs w:val="28"/>
              </w:rPr>
              <w:t xml:space="preserve">   </w:t>
            </w:r>
            <w:r>
              <w:rPr>
                <w:rFonts w:eastAsia="仿宋"/>
                <w:color w:val="auto"/>
                <w:sz w:val="28"/>
                <w:szCs w:val="28"/>
              </w:rPr>
              <w:t>分</w:t>
            </w:r>
          </w:p>
        </w:tc>
      </w:tr>
      <w:tr w14:paraId="520B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954" w:type="dxa"/>
            <w:noWrap w:val="0"/>
            <w:vAlign w:val="center"/>
          </w:tcPr>
          <w:p w14:paraId="3A599794">
            <w:pPr>
              <w:jc w:val="center"/>
              <w:rPr>
                <w:rFonts w:eastAsia="仿宋"/>
                <w:color w:val="auto"/>
                <w:sz w:val="28"/>
                <w:szCs w:val="28"/>
              </w:rPr>
            </w:pPr>
            <w:r>
              <w:rPr>
                <w:rFonts w:eastAsia="仿宋"/>
                <w:color w:val="auto"/>
                <w:sz w:val="28"/>
                <w:szCs w:val="28"/>
              </w:rPr>
              <w:t>单位名称</w:t>
            </w:r>
          </w:p>
        </w:tc>
        <w:tc>
          <w:tcPr>
            <w:tcW w:w="6546" w:type="dxa"/>
            <w:gridSpan w:val="4"/>
            <w:noWrap w:val="0"/>
            <w:vAlign w:val="center"/>
          </w:tcPr>
          <w:p w14:paraId="0BE44335">
            <w:pPr>
              <w:jc w:val="center"/>
              <w:rPr>
                <w:rFonts w:eastAsia="仿宋"/>
                <w:color w:val="auto"/>
                <w:sz w:val="28"/>
                <w:szCs w:val="28"/>
              </w:rPr>
            </w:pPr>
          </w:p>
        </w:tc>
      </w:tr>
      <w:tr w14:paraId="59D82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9" w:hRule="atLeast"/>
        </w:trPr>
        <w:tc>
          <w:tcPr>
            <w:tcW w:w="1954" w:type="dxa"/>
            <w:noWrap w:val="0"/>
            <w:vAlign w:val="center"/>
          </w:tcPr>
          <w:p w14:paraId="1A1C032C">
            <w:pPr>
              <w:jc w:val="center"/>
              <w:rPr>
                <w:rFonts w:eastAsia="仿宋"/>
                <w:color w:val="auto"/>
                <w:sz w:val="28"/>
                <w:szCs w:val="28"/>
              </w:rPr>
            </w:pPr>
            <w:r>
              <w:rPr>
                <w:rFonts w:eastAsia="仿宋"/>
                <w:color w:val="auto"/>
                <w:sz w:val="28"/>
                <w:szCs w:val="28"/>
              </w:rPr>
              <w:t>地址</w:t>
            </w:r>
          </w:p>
        </w:tc>
        <w:tc>
          <w:tcPr>
            <w:tcW w:w="6546" w:type="dxa"/>
            <w:gridSpan w:val="4"/>
            <w:noWrap w:val="0"/>
            <w:vAlign w:val="center"/>
          </w:tcPr>
          <w:p w14:paraId="1E18BD68">
            <w:pPr>
              <w:jc w:val="center"/>
              <w:rPr>
                <w:rFonts w:eastAsia="仿宋"/>
                <w:color w:val="auto"/>
                <w:sz w:val="28"/>
                <w:szCs w:val="28"/>
              </w:rPr>
            </w:pPr>
            <w:r>
              <w:rPr>
                <w:rFonts w:eastAsia="仿宋"/>
                <w:color w:val="auto"/>
                <w:sz w:val="28"/>
                <w:szCs w:val="28"/>
              </w:rPr>
              <w:t>省市区乡（镇）村</w:t>
            </w:r>
          </w:p>
        </w:tc>
      </w:tr>
      <w:tr w14:paraId="4893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954" w:type="dxa"/>
            <w:noWrap w:val="0"/>
            <w:vAlign w:val="center"/>
          </w:tcPr>
          <w:p w14:paraId="3A4ACE35">
            <w:pPr>
              <w:jc w:val="center"/>
              <w:rPr>
                <w:rFonts w:eastAsia="仿宋"/>
                <w:color w:val="auto"/>
                <w:sz w:val="28"/>
                <w:szCs w:val="28"/>
              </w:rPr>
            </w:pPr>
            <w:r>
              <w:rPr>
                <w:rFonts w:eastAsia="仿宋"/>
                <w:color w:val="auto"/>
                <w:sz w:val="28"/>
                <w:szCs w:val="28"/>
              </w:rPr>
              <w:t>法人代表</w:t>
            </w:r>
          </w:p>
        </w:tc>
        <w:tc>
          <w:tcPr>
            <w:tcW w:w="3015" w:type="dxa"/>
            <w:noWrap w:val="0"/>
            <w:vAlign w:val="center"/>
          </w:tcPr>
          <w:p w14:paraId="2AE57DC9">
            <w:pPr>
              <w:jc w:val="center"/>
              <w:rPr>
                <w:rFonts w:eastAsia="仿宋"/>
                <w:color w:val="auto"/>
                <w:sz w:val="28"/>
                <w:szCs w:val="28"/>
              </w:rPr>
            </w:pPr>
          </w:p>
        </w:tc>
        <w:tc>
          <w:tcPr>
            <w:tcW w:w="2261" w:type="dxa"/>
            <w:gridSpan w:val="2"/>
            <w:noWrap w:val="0"/>
            <w:vAlign w:val="center"/>
          </w:tcPr>
          <w:p w14:paraId="259680DB">
            <w:pPr>
              <w:jc w:val="center"/>
              <w:rPr>
                <w:rFonts w:eastAsia="仿宋"/>
                <w:color w:val="auto"/>
                <w:sz w:val="28"/>
                <w:szCs w:val="28"/>
              </w:rPr>
            </w:pPr>
            <w:r>
              <w:rPr>
                <w:rFonts w:eastAsia="仿宋"/>
                <w:color w:val="auto"/>
                <w:sz w:val="28"/>
                <w:szCs w:val="28"/>
              </w:rPr>
              <w:t>联系电话</w:t>
            </w:r>
          </w:p>
        </w:tc>
        <w:tc>
          <w:tcPr>
            <w:tcW w:w="1270" w:type="dxa"/>
            <w:noWrap w:val="0"/>
            <w:vAlign w:val="center"/>
          </w:tcPr>
          <w:p w14:paraId="74C73E95">
            <w:pPr>
              <w:jc w:val="center"/>
              <w:rPr>
                <w:rFonts w:eastAsia="仿宋"/>
                <w:color w:val="auto"/>
                <w:sz w:val="28"/>
                <w:szCs w:val="28"/>
              </w:rPr>
            </w:pPr>
          </w:p>
        </w:tc>
      </w:tr>
      <w:tr w14:paraId="575C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954" w:type="dxa"/>
            <w:noWrap w:val="0"/>
            <w:vAlign w:val="center"/>
          </w:tcPr>
          <w:p w14:paraId="7E8D37ED">
            <w:pPr>
              <w:jc w:val="center"/>
              <w:rPr>
                <w:rFonts w:eastAsia="仿宋"/>
                <w:color w:val="auto"/>
                <w:sz w:val="28"/>
                <w:szCs w:val="28"/>
              </w:rPr>
            </w:pPr>
            <w:r>
              <w:rPr>
                <w:rFonts w:eastAsia="仿宋"/>
                <w:color w:val="auto"/>
                <w:sz w:val="28"/>
                <w:szCs w:val="28"/>
              </w:rPr>
              <w:t>传真</w:t>
            </w:r>
          </w:p>
        </w:tc>
        <w:tc>
          <w:tcPr>
            <w:tcW w:w="3015" w:type="dxa"/>
            <w:noWrap w:val="0"/>
            <w:vAlign w:val="center"/>
          </w:tcPr>
          <w:p w14:paraId="01605AD6">
            <w:pPr>
              <w:jc w:val="center"/>
              <w:rPr>
                <w:rFonts w:eastAsia="仿宋"/>
                <w:color w:val="auto"/>
                <w:sz w:val="28"/>
                <w:szCs w:val="28"/>
              </w:rPr>
            </w:pPr>
          </w:p>
        </w:tc>
        <w:tc>
          <w:tcPr>
            <w:tcW w:w="2261" w:type="dxa"/>
            <w:gridSpan w:val="2"/>
            <w:noWrap w:val="0"/>
            <w:vAlign w:val="center"/>
          </w:tcPr>
          <w:p w14:paraId="164497D1">
            <w:pPr>
              <w:jc w:val="center"/>
              <w:rPr>
                <w:rFonts w:eastAsia="仿宋"/>
                <w:color w:val="auto"/>
                <w:sz w:val="28"/>
                <w:szCs w:val="28"/>
              </w:rPr>
            </w:pPr>
            <w:r>
              <w:rPr>
                <w:rFonts w:eastAsia="仿宋"/>
                <w:color w:val="auto"/>
                <w:sz w:val="28"/>
                <w:szCs w:val="28"/>
              </w:rPr>
              <w:t>Email</w:t>
            </w:r>
          </w:p>
        </w:tc>
        <w:tc>
          <w:tcPr>
            <w:tcW w:w="1270" w:type="dxa"/>
            <w:noWrap w:val="0"/>
            <w:vAlign w:val="center"/>
          </w:tcPr>
          <w:p w14:paraId="1FD8A994">
            <w:pPr>
              <w:jc w:val="center"/>
              <w:rPr>
                <w:rFonts w:eastAsia="仿宋"/>
                <w:color w:val="auto"/>
                <w:sz w:val="28"/>
                <w:szCs w:val="28"/>
              </w:rPr>
            </w:pPr>
          </w:p>
        </w:tc>
      </w:tr>
      <w:tr w14:paraId="65EE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954" w:type="dxa"/>
            <w:noWrap w:val="0"/>
            <w:vAlign w:val="center"/>
          </w:tcPr>
          <w:p w14:paraId="33A8F33B">
            <w:pPr>
              <w:jc w:val="center"/>
              <w:rPr>
                <w:rFonts w:eastAsia="仿宋"/>
                <w:color w:val="auto"/>
                <w:sz w:val="28"/>
                <w:szCs w:val="28"/>
              </w:rPr>
            </w:pPr>
            <w:r>
              <w:rPr>
                <w:rFonts w:eastAsia="仿宋"/>
                <w:color w:val="auto"/>
                <w:sz w:val="28"/>
                <w:szCs w:val="28"/>
              </w:rPr>
              <w:t>发生位置</w:t>
            </w:r>
          </w:p>
        </w:tc>
        <w:tc>
          <w:tcPr>
            <w:tcW w:w="3015" w:type="dxa"/>
            <w:noWrap w:val="0"/>
            <w:vAlign w:val="center"/>
          </w:tcPr>
          <w:p w14:paraId="4C1443DA">
            <w:pPr>
              <w:jc w:val="center"/>
              <w:rPr>
                <w:rFonts w:eastAsia="仿宋"/>
                <w:color w:val="auto"/>
                <w:sz w:val="28"/>
                <w:szCs w:val="28"/>
              </w:rPr>
            </w:pPr>
          </w:p>
        </w:tc>
        <w:tc>
          <w:tcPr>
            <w:tcW w:w="2261" w:type="dxa"/>
            <w:gridSpan w:val="2"/>
            <w:noWrap w:val="0"/>
            <w:vAlign w:val="center"/>
          </w:tcPr>
          <w:p w14:paraId="6BB0B621">
            <w:pPr>
              <w:jc w:val="center"/>
              <w:rPr>
                <w:rFonts w:eastAsia="仿宋"/>
                <w:color w:val="auto"/>
                <w:sz w:val="28"/>
                <w:szCs w:val="28"/>
              </w:rPr>
            </w:pPr>
            <w:r>
              <w:rPr>
                <w:rFonts w:eastAsia="仿宋"/>
                <w:color w:val="auto"/>
                <w:sz w:val="28"/>
                <w:szCs w:val="28"/>
              </w:rPr>
              <w:t>设备设施名称</w:t>
            </w:r>
          </w:p>
        </w:tc>
        <w:tc>
          <w:tcPr>
            <w:tcW w:w="1270" w:type="dxa"/>
            <w:noWrap w:val="0"/>
            <w:vAlign w:val="center"/>
          </w:tcPr>
          <w:p w14:paraId="02106467">
            <w:pPr>
              <w:jc w:val="center"/>
              <w:rPr>
                <w:rFonts w:eastAsia="仿宋"/>
                <w:color w:val="auto"/>
                <w:sz w:val="28"/>
                <w:szCs w:val="28"/>
              </w:rPr>
            </w:pPr>
          </w:p>
        </w:tc>
      </w:tr>
      <w:tr w14:paraId="18B3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9" w:hRule="atLeast"/>
        </w:trPr>
        <w:tc>
          <w:tcPr>
            <w:tcW w:w="1954" w:type="dxa"/>
            <w:noWrap w:val="0"/>
            <w:vAlign w:val="center"/>
          </w:tcPr>
          <w:p w14:paraId="2E27D498">
            <w:pPr>
              <w:jc w:val="center"/>
              <w:rPr>
                <w:rFonts w:eastAsia="仿宋"/>
                <w:color w:val="auto"/>
                <w:sz w:val="28"/>
                <w:szCs w:val="28"/>
              </w:rPr>
            </w:pPr>
            <w:r>
              <w:rPr>
                <w:rFonts w:eastAsia="仿宋"/>
                <w:color w:val="auto"/>
                <w:sz w:val="28"/>
                <w:szCs w:val="28"/>
              </w:rPr>
              <w:t>物料名称</w:t>
            </w:r>
          </w:p>
        </w:tc>
        <w:tc>
          <w:tcPr>
            <w:tcW w:w="6546" w:type="dxa"/>
            <w:gridSpan w:val="4"/>
            <w:noWrap w:val="0"/>
            <w:vAlign w:val="center"/>
          </w:tcPr>
          <w:p w14:paraId="15AC4533">
            <w:pPr>
              <w:jc w:val="center"/>
              <w:rPr>
                <w:rFonts w:eastAsia="仿宋"/>
                <w:color w:val="auto"/>
                <w:sz w:val="28"/>
                <w:szCs w:val="28"/>
              </w:rPr>
            </w:pPr>
          </w:p>
        </w:tc>
      </w:tr>
      <w:tr w14:paraId="37FB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954" w:type="dxa"/>
            <w:noWrap w:val="0"/>
            <w:vAlign w:val="center"/>
          </w:tcPr>
          <w:p w14:paraId="4C736072">
            <w:pPr>
              <w:jc w:val="center"/>
              <w:rPr>
                <w:rFonts w:eastAsia="仿宋"/>
                <w:color w:val="auto"/>
                <w:sz w:val="28"/>
                <w:szCs w:val="28"/>
              </w:rPr>
            </w:pPr>
            <w:r>
              <w:rPr>
                <w:rFonts w:eastAsia="仿宋"/>
                <w:color w:val="auto"/>
                <w:sz w:val="28"/>
                <w:szCs w:val="28"/>
              </w:rPr>
              <w:t>类型</w:t>
            </w:r>
          </w:p>
        </w:tc>
        <w:tc>
          <w:tcPr>
            <w:tcW w:w="6546" w:type="dxa"/>
            <w:gridSpan w:val="4"/>
            <w:noWrap w:val="0"/>
            <w:vAlign w:val="center"/>
          </w:tcPr>
          <w:p w14:paraId="092EFD52">
            <w:pPr>
              <w:jc w:val="center"/>
              <w:rPr>
                <w:rFonts w:eastAsia="仿宋"/>
                <w:color w:val="auto"/>
                <w:sz w:val="28"/>
                <w:szCs w:val="28"/>
              </w:rPr>
            </w:pPr>
            <w:r>
              <w:rPr>
                <w:rFonts w:eastAsia="仿宋"/>
                <w:color w:val="auto"/>
                <w:sz w:val="28"/>
                <w:szCs w:val="28"/>
              </w:rPr>
              <w:t>泄漏□火灾□爆炸□其他□</w:t>
            </w:r>
          </w:p>
        </w:tc>
      </w:tr>
      <w:tr w14:paraId="607FC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54" w:type="dxa"/>
            <w:noWrap w:val="0"/>
            <w:vAlign w:val="center"/>
          </w:tcPr>
          <w:p w14:paraId="65A2329F">
            <w:pPr>
              <w:jc w:val="center"/>
              <w:rPr>
                <w:rFonts w:eastAsia="仿宋"/>
                <w:color w:val="auto"/>
                <w:sz w:val="28"/>
                <w:szCs w:val="28"/>
              </w:rPr>
            </w:pPr>
            <w:r>
              <w:rPr>
                <w:rFonts w:eastAsia="仿宋"/>
                <w:color w:val="auto"/>
                <w:sz w:val="28"/>
                <w:szCs w:val="28"/>
              </w:rPr>
              <w:t>污染物名称</w:t>
            </w:r>
          </w:p>
        </w:tc>
        <w:tc>
          <w:tcPr>
            <w:tcW w:w="3015" w:type="dxa"/>
            <w:noWrap w:val="0"/>
            <w:vAlign w:val="center"/>
          </w:tcPr>
          <w:p w14:paraId="4384AABD">
            <w:pPr>
              <w:jc w:val="center"/>
              <w:rPr>
                <w:rFonts w:eastAsia="仿宋"/>
                <w:color w:val="auto"/>
                <w:sz w:val="28"/>
                <w:szCs w:val="28"/>
              </w:rPr>
            </w:pPr>
            <w:r>
              <w:rPr>
                <w:rFonts w:eastAsia="仿宋"/>
                <w:color w:val="auto"/>
                <w:sz w:val="28"/>
                <w:szCs w:val="28"/>
              </w:rPr>
              <w:t>数量</w:t>
            </w:r>
          </w:p>
        </w:tc>
        <w:tc>
          <w:tcPr>
            <w:tcW w:w="3531" w:type="dxa"/>
            <w:gridSpan w:val="3"/>
            <w:noWrap w:val="0"/>
            <w:vAlign w:val="center"/>
          </w:tcPr>
          <w:p w14:paraId="50992A29">
            <w:pPr>
              <w:jc w:val="center"/>
              <w:rPr>
                <w:rFonts w:eastAsia="仿宋"/>
                <w:color w:val="auto"/>
                <w:sz w:val="28"/>
                <w:szCs w:val="28"/>
              </w:rPr>
            </w:pPr>
            <w:r>
              <w:rPr>
                <w:rFonts w:eastAsia="仿宋"/>
                <w:color w:val="auto"/>
                <w:sz w:val="28"/>
                <w:szCs w:val="28"/>
              </w:rPr>
              <w:t>排放去向</w:t>
            </w:r>
          </w:p>
        </w:tc>
      </w:tr>
      <w:tr w14:paraId="21A4F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54" w:type="dxa"/>
            <w:noWrap w:val="0"/>
            <w:vAlign w:val="center"/>
          </w:tcPr>
          <w:p w14:paraId="5935CB6A">
            <w:pPr>
              <w:jc w:val="center"/>
              <w:rPr>
                <w:rFonts w:eastAsia="仿宋"/>
                <w:color w:val="auto"/>
                <w:sz w:val="28"/>
                <w:szCs w:val="28"/>
              </w:rPr>
            </w:pPr>
          </w:p>
        </w:tc>
        <w:tc>
          <w:tcPr>
            <w:tcW w:w="3015" w:type="dxa"/>
            <w:noWrap w:val="0"/>
            <w:vAlign w:val="center"/>
          </w:tcPr>
          <w:p w14:paraId="327B852F">
            <w:pPr>
              <w:jc w:val="center"/>
              <w:rPr>
                <w:rFonts w:eastAsia="仿宋"/>
                <w:color w:val="auto"/>
                <w:sz w:val="28"/>
                <w:szCs w:val="28"/>
              </w:rPr>
            </w:pPr>
          </w:p>
        </w:tc>
        <w:tc>
          <w:tcPr>
            <w:tcW w:w="3531" w:type="dxa"/>
            <w:gridSpan w:val="3"/>
            <w:noWrap w:val="0"/>
            <w:vAlign w:val="center"/>
          </w:tcPr>
          <w:p w14:paraId="3BE3DC7B">
            <w:pPr>
              <w:jc w:val="center"/>
              <w:rPr>
                <w:rFonts w:eastAsia="仿宋"/>
                <w:color w:val="auto"/>
                <w:sz w:val="28"/>
                <w:szCs w:val="28"/>
              </w:rPr>
            </w:pPr>
          </w:p>
        </w:tc>
      </w:tr>
      <w:tr w14:paraId="6C9E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8" w:hRule="atLeast"/>
        </w:trPr>
        <w:tc>
          <w:tcPr>
            <w:tcW w:w="1954" w:type="dxa"/>
            <w:noWrap w:val="0"/>
            <w:vAlign w:val="center"/>
          </w:tcPr>
          <w:p w14:paraId="7E2BEFB3">
            <w:pPr>
              <w:jc w:val="center"/>
              <w:rPr>
                <w:rFonts w:eastAsia="仿宋"/>
                <w:color w:val="auto"/>
                <w:sz w:val="28"/>
                <w:szCs w:val="28"/>
              </w:rPr>
            </w:pPr>
          </w:p>
        </w:tc>
        <w:tc>
          <w:tcPr>
            <w:tcW w:w="3015" w:type="dxa"/>
            <w:noWrap w:val="0"/>
            <w:vAlign w:val="center"/>
          </w:tcPr>
          <w:p w14:paraId="7E1C332F">
            <w:pPr>
              <w:jc w:val="center"/>
              <w:rPr>
                <w:rFonts w:eastAsia="仿宋"/>
                <w:color w:val="auto"/>
                <w:sz w:val="28"/>
                <w:szCs w:val="28"/>
              </w:rPr>
            </w:pPr>
          </w:p>
        </w:tc>
        <w:tc>
          <w:tcPr>
            <w:tcW w:w="3531" w:type="dxa"/>
            <w:gridSpan w:val="3"/>
            <w:noWrap w:val="0"/>
            <w:vAlign w:val="center"/>
          </w:tcPr>
          <w:p w14:paraId="223CDACA">
            <w:pPr>
              <w:jc w:val="center"/>
              <w:rPr>
                <w:rFonts w:eastAsia="仿宋"/>
                <w:color w:val="auto"/>
                <w:sz w:val="28"/>
                <w:szCs w:val="28"/>
              </w:rPr>
            </w:pPr>
          </w:p>
        </w:tc>
      </w:tr>
      <w:tr w14:paraId="094EE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54" w:type="dxa"/>
            <w:noWrap w:val="0"/>
            <w:vAlign w:val="center"/>
          </w:tcPr>
          <w:p w14:paraId="43A324C0">
            <w:pPr>
              <w:jc w:val="center"/>
              <w:rPr>
                <w:rFonts w:eastAsia="仿宋"/>
                <w:color w:val="auto"/>
                <w:sz w:val="28"/>
                <w:szCs w:val="28"/>
              </w:rPr>
            </w:pPr>
          </w:p>
        </w:tc>
        <w:tc>
          <w:tcPr>
            <w:tcW w:w="3015" w:type="dxa"/>
            <w:noWrap w:val="0"/>
            <w:vAlign w:val="center"/>
          </w:tcPr>
          <w:p w14:paraId="1B74E703">
            <w:pPr>
              <w:jc w:val="center"/>
              <w:rPr>
                <w:rFonts w:eastAsia="仿宋"/>
                <w:color w:val="auto"/>
                <w:sz w:val="28"/>
                <w:szCs w:val="28"/>
              </w:rPr>
            </w:pPr>
          </w:p>
        </w:tc>
        <w:tc>
          <w:tcPr>
            <w:tcW w:w="3531" w:type="dxa"/>
            <w:gridSpan w:val="3"/>
            <w:noWrap w:val="0"/>
            <w:vAlign w:val="center"/>
          </w:tcPr>
          <w:p w14:paraId="59B6FCF0">
            <w:pPr>
              <w:jc w:val="center"/>
              <w:rPr>
                <w:rFonts w:eastAsia="仿宋"/>
                <w:color w:val="auto"/>
                <w:sz w:val="28"/>
                <w:szCs w:val="28"/>
              </w:rPr>
            </w:pPr>
          </w:p>
        </w:tc>
      </w:tr>
      <w:tr w14:paraId="3A87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54" w:type="dxa"/>
            <w:noWrap w:val="0"/>
            <w:vAlign w:val="center"/>
          </w:tcPr>
          <w:p w14:paraId="25F163A9">
            <w:pPr>
              <w:jc w:val="center"/>
              <w:rPr>
                <w:rFonts w:eastAsia="仿宋"/>
                <w:color w:val="auto"/>
                <w:sz w:val="28"/>
                <w:szCs w:val="28"/>
              </w:rPr>
            </w:pPr>
          </w:p>
        </w:tc>
        <w:tc>
          <w:tcPr>
            <w:tcW w:w="3015" w:type="dxa"/>
            <w:noWrap w:val="0"/>
            <w:vAlign w:val="center"/>
          </w:tcPr>
          <w:p w14:paraId="16ECCFCE">
            <w:pPr>
              <w:jc w:val="center"/>
              <w:rPr>
                <w:rFonts w:eastAsia="仿宋"/>
                <w:color w:val="auto"/>
                <w:sz w:val="28"/>
                <w:szCs w:val="28"/>
              </w:rPr>
            </w:pPr>
          </w:p>
        </w:tc>
        <w:tc>
          <w:tcPr>
            <w:tcW w:w="3531" w:type="dxa"/>
            <w:gridSpan w:val="3"/>
            <w:noWrap w:val="0"/>
            <w:vAlign w:val="center"/>
          </w:tcPr>
          <w:p w14:paraId="6E41445D">
            <w:pPr>
              <w:jc w:val="center"/>
              <w:rPr>
                <w:rFonts w:eastAsia="仿宋"/>
                <w:color w:val="auto"/>
                <w:sz w:val="28"/>
                <w:szCs w:val="28"/>
              </w:rPr>
            </w:pPr>
          </w:p>
        </w:tc>
      </w:tr>
      <w:tr w14:paraId="58AD1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54" w:type="dxa"/>
            <w:noWrap w:val="0"/>
            <w:vAlign w:val="center"/>
          </w:tcPr>
          <w:p w14:paraId="621BF1CE">
            <w:pPr>
              <w:jc w:val="center"/>
              <w:rPr>
                <w:rFonts w:eastAsia="仿宋"/>
                <w:color w:val="auto"/>
                <w:sz w:val="28"/>
                <w:szCs w:val="28"/>
              </w:rPr>
            </w:pPr>
          </w:p>
        </w:tc>
        <w:tc>
          <w:tcPr>
            <w:tcW w:w="3015" w:type="dxa"/>
            <w:noWrap w:val="0"/>
            <w:vAlign w:val="center"/>
          </w:tcPr>
          <w:p w14:paraId="1AF25CAE">
            <w:pPr>
              <w:jc w:val="center"/>
              <w:rPr>
                <w:rFonts w:eastAsia="仿宋"/>
                <w:color w:val="auto"/>
                <w:sz w:val="28"/>
                <w:szCs w:val="28"/>
              </w:rPr>
            </w:pPr>
          </w:p>
        </w:tc>
        <w:tc>
          <w:tcPr>
            <w:tcW w:w="3531" w:type="dxa"/>
            <w:gridSpan w:val="3"/>
            <w:noWrap w:val="0"/>
            <w:vAlign w:val="center"/>
          </w:tcPr>
          <w:p w14:paraId="68BB0344">
            <w:pPr>
              <w:jc w:val="center"/>
              <w:rPr>
                <w:rFonts w:eastAsia="仿宋"/>
                <w:color w:val="auto"/>
                <w:sz w:val="28"/>
                <w:szCs w:val="28"/>
              </w:rPr>
            </w:pPr>
          </w:p>
        </w:tc>
      </w:tr>
      <w:tr w14:paraId="52C75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8" w:hRule="atLeast"/>
        </w:trPr>
        <w:tc>
          <w:tcPr>
            <w:tcW w:w="1954" w:type="dxa"/>
            <w:noWrap w:val="0"/>
            <w:vAlign w:val="center"/>
          </w:tcPr>
          <w:p w14:paraId="67804F0E">
            <w:pPr>
              <w:jc w:val="center"/>
              <w:rPr>
                <w:rFonts w:eastAsia="仿宋"/>
                <w:color w:val="auto"/>
                <w:sz w:val="28"/>
                <w:szCs w:val="28"/>
              </w:rPr>
            </w:pPr>
          </w:p>
        </w:tc>
        <w:tc>
          <w:tcPr>
            <w:tcW w:w="3015" w:type="dxa"/>
            <w:noWrap w:val="0"/>
            <w:vAlign w:val="center"/>
          </w:tcPr>
          <w:p w14:paraId="4AAD7428">
            <w:pPr>
              <w:jc w:val="center"/>
              <w:rPr>
                <w:rFonts w:eastAsia="仿宋"/>
                <w:color w:val="auto"/>
                <w:sz w:val="28"/>
                <w:szCs w:val="28"/>
              </w:rPr>
            </w:pPr>
          </w:p>
        </w:tc>
        <w:tc>
          <w:tcPr>
            <w:tcW w:w="3531" w:type="dxa"/>
            <w:gridSpan w:val="3"/>
            <w:noWrap w:val="0"/>
            <w:vAlign w:val="center"/>
          </w:tcPr>
          <w:p w14:paraId="2E7B7605">
            <w:pPr>
              <w:jc w:val="center"/>
              <w:rPr>
                <w:rFonts w:eastAsia="仿宋"/>
                <w:color w:val="auto"/>
                <w:sz w:val="28"/>
                <w:szCs w:val="28"/>
              </w:rPr>
            </w:pPr>
          </w:p>
        </w:tc>
      </w:tr>
      <w:tr w14:paraId="085F9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54" w:type="dxa"/>
            <w:noWrap w:val="0"/>
            <w:vAlign w:val="center"/>
          </w:tcPr>
          <w:p w14:paraId="0BF96B59">
            <w:pPr>
              <w:jc w:val="center"/>
              <w:rPr>
                <w:rFonts w:eastAsia="仿宋"/>
                <w:color w:val="auto"/>
                <w:sz w:val="28"/>
                <w:szCs w:val="28"/>
              </w:rPr>
            </w:pPr>
          </w:p>
        </w:tc>
        <w:tc>
          <w:tcPr>
            <w:tcW w:w="3015" w:type="dxa"/>
            <w:noWrap w:val="0"/>
            <w:vAlign w:val="center"/>
          </w:tcPr>
          <w:p w14:paraId="7F0BA674">
            <w:pPr>
              <w:jc w:val="center"/>
              <w:rPr>
                <w:rFonts w:eastAsia="仿宋"/>
                <w:color w:val="auto"/>
                <w:sz w:val="28"/>
                <w:szCs w:val="28"/>
              </w:rPr>
            </w:pPr>
          </w:p>
        </w:tc>
        <w:tc>
          <w:tcPr>
            <w:tcW w:w="3531" w:type="dxa"/>
            <w:gridSpan w:val="3"/>
            <w:noWrap w:val="0"/>
            <w:vAlign w:val="center"/>
          </w:tcPr>
          <w:p w14:paraId="18736552">
            <w:pPr>
              <w:jc w:val="center"/>
              <w:rPr>
                <w:rFonts w:eastAsia="仿宋"/>
                <w:color w:val="auto"/>
                <w:sz w:val="28"/>
                <w:szCs w:val="28"/>
              </w:rPr>
            </w:pPr>
          </w:p>
        </w:tc>
      </w:tr>
      <w:tr w14:paraId="1450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54" w:type="dxa"/>
            <w:noWrap w:val="0"/>
            <w:vAlign w:val="center"/>
          </w:tcPr>
          <w:p w14:paraId="49CDB898">
            <w:pPr>
              <w:jc w:val="center"/>
              <w:rPr>
                <w:rFonts w:eastAsia="仿宋"/>
                <w:color w:val="auto"/>
                <w:sz w:val="28"/>
                <w:szCs w:val="28"/>
              </w:rPr>
            </w:pPr>
          </w:p>
        </w:tc>
        <w:tc>
          <w:tcPr>
            <w:tcW w:w="3015" w:type="dxa"/>
            <w:noWrap w:val="0"/>
            <w:vAlign w:val="center"/>
          </w:tcPr>
          <w:p w14:paraId="28478FDE">
            <w:pPr>
              <w:jc w:val="center"/>
              <w:rPr>
                <w:rFonts w:eastAsia="仿宋"/>
                <w:color w:val="auto"/>
                <w:sz w:val="28"/>
                <w:szCs w:val="28"/>
              </w:rPr>
            </w:pPr>
          </w:p>
        </w:tc>
        <w:tc>
          <w:tcPr>
            <w:tcW w:w="3531" w:type="dxa"/>
            <w:gridSpan w:val="3"/>
            <w:noWrap w:val="0"/>
            <w:vAlign w:val="center"/>
          </w:tcPr>
          <w:p w14:paraId="337508CC">
            <w:pPr>
              <w:jc w:val="center"/>
              <w:rPr>
                <w:rFonts w:eastAsia="仿宋"/>
                <w:color w:val="auto"/>
                <w:sz w:val="28"/>
                <w:szCs w:val="28"/>
              </w:rPr>
            </w:pPr>
          </w:p>
        </w:tc>
      </w:tr>
      <w:tr w14:paraId="525AD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2" w:hRule="atLeast"/>
        </w:trPr>
        <w:tc>
          <w:tcPr>
            <w:tcW w:w="8500" w:type="dxa"/>
            <w:gridSpan w:val="5"/>
            <w:noWrap w:val="0"/>
            <w:vAlign w:val="center"/>
          </w:tcPr>
          <w:p w14:paraId="53D44E5F">
            <w:pPr>
              <w:adjustRightInd w:val="0"/>
              <w:snapToGrid w:val="0"/>
              <w:spacing w:line="360" w:lineRule="auto"/>
              <w:ind w:left="0"/>
              <w:rPr>
                <w:rFonts w:eastAsia="仿宋"/>
                <w:color w:val="auto"/>
                <w:sz w:val="28"/>
                <w:szCs w:val="28"/>
              </w:rPr>
            </w:pPr>
            <w:r>
              <w:rPr>
                <w:rFonts w:eastAsia="仿宋"/>
                <w:color w:val="auto"/>
                <w:sz w:val="28"/>
                <w:szCs w:val="28"/>
              </w:rPr>
              <w:t>报告正文：</w:t>
            </w:r>
          </w:p>
          <w:p w14:paraId="29F67324">
            <w:pPr>
              <w:pStyle w:val="30"/>
              <w:numPr>
                <w:ilvl w:val="0"/>
                <w:numId w:val="8"/>
              </w:numPr>
              <w:spacing w:before="0" w:after="0"/>
              <w:ind w:firstLine="560"/>
              <w:jc w:val="left"/>
              <w:rPr>
                <w:rFonts w:ascii="Times New Roman" w:hAnsi="Times New Roman" w:eastAsia="仿宋"/>
                <w:color w:val="auto"/>
                <w:sz w:val="28"/>
                <w:szCs w:val="28"/>
              </w:rPr>
            </w:pPr>
            <w:r>
              <w:rPr>
                <w:rFonts w:ascii="Times New Roman" w:hAnsi="Times New Roman" w:eastAsia="仿宋"/>
                <w:color w:val="auto"/>
                <w:sz w:val="28"/>
                <w:szCs w:val="28"/>
              </w:rPr>
              <w:t>处理事件的措施、过程和结果：</w:t>
            </w:r>
          </w:p>
          <w:p w14:paraId="45CBAD44">
            <w:pPr>
              <w:pStyle w:val="30"/>
              <w:ind w:left="720" w:firstLine="560"/>
              <w:jc w:val="left"/>
              <w:rPr>
                <w:rFonts w:ascii="Times New Roman" w:hAnsi="Times New Roman" w:eastAsia="仿宋"/>
                <w:color w:val="auto"/>
                <w:sz w:val="28"/>
                <w:szCs w:val="28"/>
              </w:rPr>
            </w:pPr>
          </w:p>
          <w:p w14:paraId="0330BC80">
            <w:pPr>
              <w:pStyle w:val="30"/>
              <w:ind w:left="720" w:firstLine="560"/>
              <w:jc w:val="left"/>
              <w:rPr>
                <w:rFonts w:ascii="Times New Roman" w:hAnsi="Times New Roman" w:eastAsia="仿宋"/>
                <w:color w:val="auto"/>
                <w:sz w:val="28"/>
                <w:szCs w:val="28"/>
              </w:rPr>
            </w:pPr>
          </w:p>
          <w:p w14:paraId="0F7CA98A">
            <w:pPr>
              <w:pStyle w:val="30"/>
              <w:numPr>
                <w:ilvl w:val="0"/>
                <w:numId w:val="8"/>
              </w:numPr>
              <w:spacing w:before="0" w:after="0"/>
              <w:ind w:firstLine="560"/>
              <w:jc w:val="left"/>
              <w:rPr>
                <w:rFonts w:ascii="Times New Roman" w:hAnsi="Times New Roman" w:eastAsia="仿宋"/>
                <w:color w:val="auto"/>
                <w:sz w:val="28"/>
                <w:szCs w:val="28"/>
              </w:rPr>
            </w:pPr>
            <w:r>
              <w:rPr>
                <w:rFonts w:ascii="Times New Roman" w:hAnsi="Times New Roman" w:eastAsia="仿宋"/>
                <w:color w:val="auto"/>
                <w:sz w:val="28"/>
                <w:szCs w:val="28"/>
              </w:rPr>
              <w:t>污染的范围和程度：</w:t>
            </w:r>
          </w:p>
          <w:p w14:paraId="69919B8E">
            <w:pPr>
              <w:pStyle w:val="30"/>
              <w:ind w:left="1280" w:firstLine="0" w:firstLineChars="0"/>
              <w:jc w:val="left"/>
              <w:rPr>
                <w:rFonts w:ascii="Times New Roman" w:hAnsi="Times New Roman" w:eastAsia="仿宋"/>
                <w:color w:val="auto"/>
                <w:sz w:val="28"/>
                <w:szCs w:val="28"/>
              </w:rPr>
            </w:pPr>
          </w:p>
          <w:p w14:paraId="31210FBE">
            <w:pPr>
              <w:pStyle w:val="30"/>
              <w:ind w:left="1280" w:firstLine="0" w:firstLineChars="0"/>
              <w:jc w:val="left"/>
              <w:rPr>
                <w:rFonts w:ascii="Times New Roman" w:hAnsi="Times New Roman" w:eastAsia="仿宋"/>
                <w:color w:val="auto"/>
                <w:sz w:val="28"/>
                <w:szCs w:val="28"/>
              </w:rPr>
            </w:pPr>
          </w:p>
          <w:p w14:paraId="6291C401">
            <w:pPr>
              <w:pStyle w:val="30"/>
              <w:numPr>
                <w:ilvl w:val="0"/>
                <w:numId w:val="8"/>
              </w:numPr>
              <w:spacing w:before="0" w:after="0"/>
              <w:ind w:firstLine="560"/>
              <w:jc w:val="left"/>
              <w:rPr>
                <w:rFonts w:ascii="Times New Roman" w:hAnsi="Times New Roman" w:eastAsia="仿宋"/>
                <w:color w:val="auto"/>
                <w:sz w:val="28"/>
                <w:szCs w:val="28"/>
              </w:rPr>
            </w:pPr>
            <w:r>
              <w:rPr>
                <w:rFonts w:ascii="Times New Roman" w:hAnsi="Times New Roman" w:eastAsia="仿宋"/>
                <w:color w:val="auto"/>
                <w:sz w:val="28"/>
                <w:szCs w:val="28"/>
              </w:rPr>
              <w:t>事件潜在或间接的危害、社会影响:</w:t>
            </w:r>
          </w:p>
          <w:p w14:paraId="414081C5">
            <w:pPr>
              <w:pStyle w:val="30"/>
              <w:ind w:left="720" w:firstLine="560"/>
              <w:jc w:val="left"/>
              <w:rPr>
                <w:rFonts w:ascii="Times New Roman" w:hAnsi="Times New Roman" w:eastAsia="仿宋"/>
                <w:color w:val="auto"/>
                <w:sz w:val="28"/>
                <w:szCs w:val="28"/>
              </w:rPr>
            </w:pPr>
          </w:p>
          <w:p w14:paraId="072C2534">
            <w:pPr>
              <w:pStyle w:val="30"/>
              <w:ind w:left="720" w:firstLine="560"/>
              <w:jc w:val="left"/>
              <w:rPr>
                <w:rFonts w:ascii="Times New Roman" w:hAnsi="Times New Roman" w:eastAsia="仿宋"/>
                <w:color w:val="auto"/>
                <w:sz w:val="28"/>
                <w:szCs w:val="28"/>
              </w:rPr>
            </w:pPr>
          </w:p>
          <w:p w14:paraId="0833C4B6">
            <w:pPr>
              <w:pStyle w:val="30"/>
              <w:numPr>
                <w:ilvl w:val="0"/>
                <w:numId w:val="8"/>
              </w:numPr>
              <w:spacing w:before="0" w:after="0"/>
              <w:ind w:firstLine="560"/>
              <w:jc w:val="left"/>
              <w:rPr>
                <w:rFonts w:ascii="Times New Roman" w:hAnsi="Times New Roman" w:eastAsia="仿宋"/>
                <w:color w:val="auto"/>
                <w:sz w:val="28"/>
                <w:szCs w:val="28"/>
              </w:rPr>
            </w:pPr>
            <w:r>
              <w:rPr>
                <w:rFonts w:ascii="Times New Roman" w:hAnsi="Times New Roman" w:eastAsia="仿宋"/>
                <w:color w:val="auto"/>
                <w:sz w:val="28"/>
                <w:szCs w:val="28"/>
              </w:rPr>
              <w:t>处理后的遗留问题：</w:t>
            </w:r>
          </w:p>
          <w:p w14:paraId="1A747EBD">
            <w:pPr>
              <w:pStyle w:val="30"/>
              <w:ind w:left="720" w:firstLine="560"/>
              <w:jc w:val="left"/>
              <w:rPr>
                <w:rFonts w:ascii="Times New Roman" w:hAnsi="Times New Roman" w:eastAsia="仿宋"/>
                <w:color w:val="auto"/>
                <w:sz w:val="28"/>
                <w:szCs w:val="28"/>
              </w:rPr>
            </w:pPr>
          </w:p>
          <w:p w14:paraId="64685D52">
            <w:pPr>
              <w:pStyle w:val="30"/>
              <w:ind w:left="720" w:firstLine="560"/>
              <w:jc w:val="left"/>
              <w:rPr>
                <w:rFonts w:ascii="Times New Roman" w:hAnsi="Times New Roman" w:eastAsia="仿宋"/>
                <w:color w:val="auto"/>
                <w:sz w:val="28"/>
                <w:szCs w:val="28"/>
              </w:rPr>
            </w:pPr>
          </w:p>
          <w:p w14:paraId="3982F679">
            <w:pPr>
              <w:pStyle w:val="30"/>
              <w:numPr>
                <w:ilvl w:val="0"/>
                <w:numId w:val="8"/>
              </w:numPr>
              <w:spacing w:before="0" w:after="0"/>
              <w:ind w:firstLine="560"/>
              <w:jc w:val="left"/>
              <w:rPr>
                <w:rFonts w:ascii="Times New Roman" w:hAnsi="Times New Roman" w:eastAsia="仿宋"/>
                <w:color w:val="auto"/>
                <w:sz w:val="28"/>
                <w:szCs w:val="28"/>
              </w:rPr>
            </w:pPr>
            <w:r>
              <w:rPr>
                <w:rFonts w:ascii="Times New Roman" w:hAnsi="Times New Roman" w:eastAsia="仿宋"/>
                <w:color w:val="auto"/>
                <w:sz w:val="28"/>
                <w:szCs w:val="28"/>
              </w:rPr>
              <w:t>参加处理工作的有关部门和工作内容：</w:t>
            </w:r>
          </w:p>
          <w:p w14:paraId="14F6801D">
            <w:pPr>
              <w:pStyle w:val="30"/>
              <w:ind w:left="1280" w:firstLine="0" w:firstLineChars="0"/>
              <w:jc w:val="left"/>
              <w:rPr>
                <w:rFonts w:ascii="Times New Roman" w:hAnsi="Times New Roman" w:eastAsia="仿宋"/>
                <w:color w:val="auto"/>
                <w:sz w:val="28"/>
                <w:szCs w:val="28"/>
              </w:rPr>
            </w:pPr>
          </w:p>
          <w:p w14:paraId="25663C30">
            <w:pPr>
              <w:pStyle w:val="30"/>
              <w:ind w:left="1280" w:firstLine="0" w:firstLineChars="0"/>
              <w:jc w:val="left"/>
              <w:rPr>
                <w:rFonts w:ascii="Times New Roman" w:hAnsi="Times New Roman" w:eastAsia="仿宋"/>
                <w:color w:val="auto"/>
                <w:sz w:val="28"/>
                <w:szCs w:val="28"/>
              </w:rPr>
            </w:pPr>
          </w:p>
          <w:p w14:paraId="224BB0C6">
            <w:pPr>
              <w:pStyle w:val="30"/>
              <w:numPr>
                <w:ilvl w:val="0"/>
                <w:numId w:val="8"/>
              </w:numPr>
              <w:spacing w:before="0" w:after="0"/>
              <w:ind w:firstLine="560"/>
              <w:jc w:val="left"/>
              <w:rPr>
                <w:rFonts w:ascii="Times New Roman" w:hAnsi="Times New Roman" w:eastAsia="仿宋"/>
                <w:color w:val="auto"/>
                <w:sz w:val="28"/>
                <w:szCs w:val="28"/>
              </w:rPr>
            </w:pPr>
            <w:r>
              <w:rPr>
                <w:rFonts w:ascii="Times New Roman" w:hAnsi="Times New Roman" w:eastAsia="仿宋"/>
                <w:color w:val="auto"/>
                <w:sz w:val="28"/>
                <w:szCs w:val="28"/>
              </w:rPr>
              <w:t>有关危害与损失的证明文件等详细情况：</w:t>
            </w:r>
          </w:p>
          <w:p w14:paraId="44EB9B70">
            <w:pPr>
              <w:pStyle w:val="30"/>
              <w:ind w:left="1280" w:firstLine="0" w:firstLineChars="0"/>
              <w:jc w:val="left"/>
              <w:rPr>
                <w:rFonts w:ascii="Times New Roman" w:hAnsi="Times New Roman" w:eastAsia="仿宋"/>
                <w:color w:val="auto"/>
                <w:sz w:val="28"/>
                <w:szCs w:val="28"/>
              </w:rPr>
            </w:pPr>
          </w:p>
          <w:p w14:paraId="0007BBD7">
            <w:pPr>
              <w:pStyle w:val="30"/>
              <w:ind w:left="1280" w:firstLine="0" w:firstLineChars="0"/>
              <w:jc w:val="left"/>
              <w:rPr>
                <w:rFonts w:ascii="Times New Roman" w:hAnsi="Times New Roman" w:eastAsia="仿宋"/>
                <w:color w:val="auto"/>
                <w:sz w:val="28"/>
                <w:szCs w:val="28"/>
              </w:rPr>
            </w:pPr>
          </w:p>
          <w:p w14:paraId="688BE648">
            <w:pPr>
              <w:jc w:val="left"/>
              <w:rPr>
                <w:rFonts w:eastAsia="仿宋"/>
                <w:color w:val="auto"/>
                <w:sz w:val="28"/>
                <w:szCs w:val="28"/>
              </w:rPr>
            </w:pPr>
            <w:r>
              <w:rPr>
                <w:rFonts w:eastAsia="仿宋"/>
                <w:color w:val="auto"/>
                <w:sz w:val="28"/>
                <w:szCs w:val="28"/>
              </w:rPr>
              <w:t>（不够可附页）</w:t>
            </w:r>
          </w:p>
        </w:tc>
      </w:tr>
    </w:tbl>
    <w:p w14:paraId="2499B149">
      <w:pPr>
        <w:adjustRightInd w:val="0"/>
        <w:snapToGrid w:val="0"/>
        <w:spacing w:line="360" w:lineRule="auto"/>
        <w:ind w:left="0"/>
        <w:jc w:val="center"/>
        <w:textAlignment w:val="auto"/>
        <w:rPr>
          <w:rFonts w:eastAsia="仿宋"/>
          <w:color w:val="auto"/>
          <w:kern w:val="2"/>
          <w:sz w:val="28"/>
          <w:szCs w:val="28"/>
        </w:rPr>
      </w:pPr>
      <w:r>
        <w:rPr>
          <w:rFonts w:eastAsia="仿宋"/>
          <w:color w:val="auto"/>
          <w:kern w:val="2"/>
          <w:sz w:val="28"/>
          <w:szCs w:val="28"/>
        </w:rPr>
        <w:t>环境污染事件调查报告书</w:t>
      </w:r>
    </w:p>
    <w:p w14:paraId="59433AF6">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1.事件名称：</w:t>
      </w:r>
    </w:p>
    <w:p w14:paraId="022636F3">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2.事件单位名称：</w:t>
      </w:r>
    </w:p>
    <w:p w14:paraId="0EF3DF79">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3.事件等级：时间类别：</w:t>
      </w:r>
    </w:p>
    <w:p w14:paraId="6EEA280C">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4.时间起止时间：年月日时分至年月日时分</w:t>
      </w:r>
    </w:p>
    <w:p w14:paraId="1E26F8AF">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5.主设备情况（设备规范、制造厂、投产日期、最近一次大修日期等）：</w:t>
      </w:r>
    </w:p>
    <w:p w14:paraId="617562C9">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6.事件前工况：</w:t>
      </w:r>
    </w:p>
    <w:p w14:paraId="0531BCE2">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7.事件发生、扩大和处理情况：</w:t>
      </w:r>
    </w:p>
    <w:p w14:paraId="25F948CB">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8.事件原因及扩大原因：</w:t>
      </w:r>
    </w:p>
    <w:p w14:paraId="2420C5AB">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9.事件损失情况（环境破坏程度、环境设施损坏情况、直接经济损失等）：</w:t>
      </w:r>
    </w:p>
    <w:p w14:paraId="5D65AD83">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10.事件暴露问题：</w:t>
      </w:r>
    </w:p>
    <w:p w14:paraId="599F0733">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11.防止事件重复发生的对策、执行人和完成日期:</w:t>
      </w:r>
    </w:p>
    <w:p w14:paraId="781B0845">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12.事件责任分析和对事件责任者的处理意见：</w:t>
      </w:r>
    </w:p>
    <w:p w14:paraId="72702B77">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13.参加事件调查组的单位及成员名单及签名：</w:t>
      </w:r>
    </w:p>
    <w:p w14:paraId="785E82F9">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14.附件清单（包括图纸、资料、原始记录、笔录、试验和分析计算资料、照片录像等）：</w:t>
      </w:r>
    </w:p>
    <w:p w14:paraId="532231F1">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事件调查组组长、副组长签字：</w:t>
      </w:r>
    </w:p>
    <w:p w14:paraId="489C3697">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主持事件调查单位负责人：</w:t>
      </w:r>
    </w:p>
    <w:p w14:paraId="6EDD7711">
      <w:pPr>
        <w:widowControl/>
        <w:adjustRightInd w:val="0"/>
        <w:snapToGrid w:val="0"/>
        <w:spacing w:line="620" w:lineRule="exact"/>
        <w:ind w:left="0" w:firstLine="560" w:firstLineChars="200"/>
        <w:textAlignment w:val="auto"/>
        <w:rPr>
          <w:rFonts w:eastAsia="仿宋"/>
          <w:color w:val="auto"/>
          <w:sz w:val="28"/>
          <w:szCs w:val="28"/>
        </w:rPr>
      </w:pPr>
      <w:r>
        <w:rPr>
          <w:rFonts w:eastAsia="仿宋"/>
          <w:color w:val="auto"/>
          <w:sz w:val="28"/>
          <w:szCs w:val="28"/>
        </w:rPr>
        <w:t>主持事件调查单位盖章：</w:t>
      </w:r>
    </w:p>
    <w:p w14:paraId="45A5E436">
      <w:pPr>
        <w:adjustRightInd w:val="0"/>
        <w:snapToGrid w:val="0"/>
        <w:spacing w:line="620" w:lineRule="exact"/>
        <w:ind w:left="0" w:firstLine="560" w:firstLineChars="200"/>
        <w:textAlignment w:val="auto"/>
        <w:rPr>
          <w:rFonts w:hint="eastAsia" w:eastAsia="仿宋"/>
          <w:color w:val="auto"/>
          <w:sz w:val="28"/>
          <w:szCs w:val="28"/>
        </w:rPr>
      </w:pPr>
      <w:r>
        <w:rPr>
          <w:rFonts w:eastAsia="仿宋"/>
          <w:color w:val="auto"/>
          <w:sz w:val="28"/>
          <w:szCs w:val="28"/>
        </w:rPr>
        <w:t>报出日期：</w:t>
      </w:r>
      <w:r>
        <w:rPr>
          <w:rFonts w:hint="eastAsia" w:eastAsia="仿宋"/>
          <w:color w:val="auto"/>
          <w:sz w:val="28"/>
          <w:szCs w:val="28"/>
        </w:rPr>
        <w:t xml:space="preserve"> </w:t>
      </w:r>
      <w:r>
        <w:rPr>
          <w:rFonts w:eastAsia="仿宋"/>
          <w:color w:val="auto"/>
          <w:sz w:val="28"/>
          <w:szCs w:val="28"/>
        </w:rPr>
        <w:t xml:space="preserve">                               年</w:t>
      </w:r>
      <w:r>
        <w:rPr>
          <w:rFonts w:hint="eastAsia" w:eastAsia="仿宋"/>
          <w:color w:val="auto"/>
          <w:sz w:val="28"/>
          <w:szCs w:val="28"/>
        </w:rPr>
        <w:t xml:space="preserve"> </w:t>
      </w:r>
      <w:r>
        <w:rPr>
          <w:rFonts w:eastAsia="仿宋"/>
          <w:color w:val="auto"/>
          <w:sz w:val="28"/>
          <w:szCs w:val="28"/>
        </w:rPr>
        <w:t xml:space="preserve">   月</w:t>
      </w:r>
      <w:r>
        <w:rPr>
          <w:rFonts w:hint="eastAsia" w:eastAsia="仿宋"/>
          <w:color w:val="auto"/>
          <w:sz w:val="28"/>
          <w:szCs w:val="28"/>
        </w:rPr>
        <w:t xml:space="preserve"> </w:t>
      </w:r>
      <w:r>
        <w:rPr>
          <w:rFonts w:eastAsia="仿宋"/>
          <w:color w:val="auto"/>
          <w:sz w:val="28"/>
          <w:szCs w:val="28"/>
        </w:rPr>
        <w:t xml:space="preserve">   日</w:t>
      </w:r>
    </w:p>
    <w:p w14:paraId="41E43219">
      <w:pPr>
        <w:adjustRightInd w:val="0"/>
        <w:snapToGrid w:val="0"/>
        <w:spacing w:line="360" w:lineRule="auto"/>
        <w:ind w:left="0" w:firstLine="560" w:firstLineChars="200"/>
        <w:textAlignment w:val="auto"/>
        <w:rPr>
          <w:rFonts w:hint="eastAsia" w:eastAsia="仿宋"/>
          <w:color w:val="auto"/>
          <w:sz w:val="28"/>
          <w:szCs w:val="28"/>
        </w:rPr>
      </w:pPr>
    </w:p>
    <w:p w14:paraId="71A716AA">
      <w:pPr>
        <w:adjustRightInd w:val="0"/>
        <w:snapToGrid w:val="0"/>
        <w:spacing w:line="360" w:lineRule="auto"/>
        <w:ind w:left="0" w:firstLine="560" w:firstLineChars="200"/>
        <w:textAlignment w:val="auto"/>
        <w:rPr>
          <w:rFonts w:hint="eastAsia" w:eastAsia="仿宋"/>
          <w:color w:val="auto"/>
          <w:sz w:val="28"/>
          <w:szCs w:val="28"/>
        </w:rPr>
      </w:pPr>
      <w:r>
        <w:rPr>
          <w:rFonts w:eastAsia="仿宋"/>
          <w:color w:val="auto"/>
          <w:sz w:val="28"/>
          <w:szCs w:val="28"/>
        </w:rPr>
        <w:drawing>
          <wp:inline distT="0" distB="0" distL="114300" distR="114300">
            <wp:extent cx="5274310" cy="7470775"/>
            <wp:effectExtent l="0" t="0" r="2540" b="15875"/>
            <wp:docPr id="19" name="图片 4" descr="20210920_195119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descr="20210920_195119_001"/>
                    <pic:cNvPicPr>
                      <a:picLocks noChangeAspect="1"/>
                    </pic:cNvPicPr>
                  </pic:nvPicPr>
                  <pic:blipFill>
                    <a:blip r:embed="rId19"/>
                    <a:stretch>
                      <a:fillRect/>
                    </a:stretch>
                  </pic:blipFill>
                  <pic:spPr>
                    <a:xfrm>
                      <a:off x="0" y="0"/>
                      <a:ext cx="5274310" cy="7470775"/>
                    </a:xfrm>
                    <a:prstGeom prst="rect">
                      <a:avLst/>
                    </a:prstGeom>
                    <a:noFill/>
                    <a:ln>
                      <a:noFill/>
                    </a:ln>
                  </pic:spPr>
                </pic:pic>
              </a:graphicData>
            </a:graphic>
          </wp:inline>
        </w:drawing>
      </w:r>
    </w:p>
    <w:p w14:paraId="312D6C34">
      <w:pPr>
        <w:adjustRightInd w:val="0"/>
        <w:snapToGrid w:val="0"/>
        <w:spacing w:line="360" w:lineRule="auto"/>
        <w:ind w:left="0" w:firstLine="560" w:firstLineChars="200"/>
        <w:textAlignment w:val="auto"/>
        <w:rPr>
          <w:rFonts w:hint="eastAsia" w:eastAsia="仿宋"/>
          <w:color w:val="auto"/>
          <w:sz w:val="28"/>
          <w:szCs w:val="28"/>
        </w:rPr>
      </w:pPr>
    </w:p>
    <w:p w14:paraId="0320C9EC">
      <w:pPr>
        <w:adjustRightInd w:val="0"/>
        <w:snapToGrid w:val="0"/>
        <w:spacing w:line="360" w:lineRule="auto"/>
        <w:ind w:left="0" w:firstLine="560" w:firstLineChars="200"/>
        <w:textAlignment w:val="auto"/>
        <w:rPr>
          <w:rFonts w:hint="eastAsia" w:eastAsia="仿宋"/>
          <w:color w:val="auto"/>
          <w:sz w:val="28"/>
          <w:szCs w:val="28"/>
        </w:rPr>
      </w:pPr>
    </w:p>
    <w:p w14:paraId="3AD19166">
      <w:pPr>
        <w:adjustRightInd w:val="0"/>
        <w:snapToGrid w:val="0"/>
        <w:spacing w:line="360" w:lineRule="auto"/>
        <w:ind w:left="0" w:firstLine="560" w:firstLineChars="200"/>
        <w:textAlignment w:val="auto"/>
        <w:rPr>
          <w:rFonts w:hint="eastAsia" w:eastAsia="仿宋"/>
          <w:b/>
          <w:color w:val="auto"/>
          <w:sz w:val="28"/>
          <w:szCs w:val="28"/>
        </w:rPr>
        <w:sectPr>
          <w:footnotePr>
            <w:numFmt w:val="decimalHalfWidth"/>
          </w:footnotePr>
          <w:endnotePr>
            <w:numFmt w:val="chineseCounting"/>
          </w:endnotePr>
          <w:pgSz w:w="11905" w:h="16837"/>
          <w:pgMar w:top="1440" w:right="1797" w:bottom="1440" w:left="1797" w:header="1191" w:footer="851" w:gutter="0"/>
          <w:pgBorders>
            <w:top w:val="none" w:sz="0" w:space="0"/>
            <w:left w:val="none" w:sz="0" w:space="0"/>
            <w:bottom w:val="none" w:sz="0" w:space="0"/>
            <w:right w:val="none" w:sz="0" w:space="0"/>
          </w:pgBorders>
          <w:pgNumType w:fmt="decimal"/>
          <w:cols w:space="720" w:num="1"/>
          <w:docGrid w:linePitch="272" w:charSpace="0"/>
        </w:sectPr>
      </w:pPr>
      <w:r>
        <w:rPr>
          <w:rFonts w:eastAsia="仿宋"/>
          <w:color w:val="auto"/>
          <w:sz w:val="28"/>
          <w:szCs w:val="28"/>
        </w:rPr>
        <w:drawing>
          <wp:inline distT="0" distB="0" distL="114300" distR="114300">
            <wp:extent cx="5271770" cy="7466330"/>
            <wp:effectExtent l="0" t="0" r="5080" b="1270"/>
            <wp:docPr id="21" name="图片 5" descr="20210920_195119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20210920_195119_002"/>
                    <pic:cNvPicPr>
                      <a:picLocks noChangeAspect="1"/>
                    </pic:cNvPicPr>
                  </pic:nvPicPr>
                  <pic:blipFill>
                    <a:blip r:embed="rId20"/>
                    <a:stretch>
                      <a:fillRect/>
                    </a:stretch>
                  </pic:blipFill>
                  <pic:spPr>
                    <a:xfrm>
                      <a:off x="0" y="0"/>
                      <a:ext cx="5271770" cy="7466330"/>
                    </a:xfrm>
                    <a:prstGeom prst="rect">
                      <a:avLst/>
                    </a:prstGeom>
                    <a:noFill/>
                    <a:ln>
                      <a:noFill/>
                    </a:ln>
                  </pic:spPr>
                </pic:pic>
              </a:graphicData>
            </a:graphic>
          </wp:inline>
        </w:drawing>
      </w:r>
    </w:p>
    <w:p w14:paraId="481F0BD2">
      <w:pPr>
        <w:adjustRightInd w:val="0"/>
        <w:snapToGrid w:val="0"/>
        <w:spacing w:line="360" w:lineRule="auto"/>
        <w:ind w:left="0"/>
        <w:textAlignment w:val="auto"/>
        <w:outlineLvl w:val="0"/>
        <w:rPr>
          <w:rFonts w:hint="eastAsia" w:eastAsia="仿宋"/>
          <w:b/>
          <w:color w:val="auto"/>
          <w:sz w:val="28"/>
          <w:szCs w:val="28"/>
        </w:rPr>
      </w:pPr>
      <w:bookmarkStart w:id="487" w:name="_Toc1011948534"/>
      <w:bookmarkStart w:id="488" w:name="_Toc30816"/>
      <w:r>
        <w:rPr>
          <w:rFonts w:hint="eastAsia" w:eastAsia="仿宋"/>
          <w:b/>
          <w:color w:val="auto"/>
          <w:sz w:val="28"/>
          <w:szCs w:val="28"/>
        </w:rPr>
        <w:t>附图1：地理位置图</w:t>
      </w:r>
      <w:bookmarkEnd w:id="487"/>
      <w:bookmarkEnd w:id="488"/>
    </w:p>
    <w:p w14:paraId="498BA5E2">
      <w:pPr>
        <w:jc w:val="center"/>
        <w:rPr>
          <w:rFonts w:hint="eastAsia" w:eastAsia="宋体"/>
          <w:color w:val="auto"/>
          <w:lang w:eastAsia="zh-CN"/>
        </w:rPr>
        <w:sectPr>
          <w:footnotePr>
            <w:numFmt w:val="decimalHalfWidth"/>
          </w:footnotePr>
          <w:endnotePr>
            <w:numFmt w:val="chineseCounting"/>
          </w:endnotePr>
          <w:pgSz w:w="11905" w:h="16837"/>
          <w:pgMar w:top="1440" w:right="1800" w:bottom="1440" w:left="1800" w:header="850" w:footer="992" w:gutter="0"/>
          <w:pgBorders>
            <w:top w:val="none" w:sz="0" w:space="0"/>
            <w:left w:val="none" w:sz="0" w:space="0"/>
            <w:bottom w:val="none" w:sz="0" w:space="0"/>
            <w:right w:val="none" w:sz="0" w:space="0"/>
          </w:pgBorders>
          <w:pgNumType w:fmt="decimal"/>
          <w:cols w:space="720" w:num="1"/>
          <w:docGrid w:linePitch="272" w:charSpace="0"/>
        </w:sectPr>
      </w:pPr>
      <w:r>
        <w:rPr>
          <w:rFonts w:hint="eastAsia" w:eastAsia="宋体"/>
          <w:color w:val="auto"/>
          <w:lang w:eastAsia="zh-CN"/>
        </w:rPr>
        <w:drawing>
          <wp:inline distT="0" distB="0" distL="114300" distR="114300">
            <wp:extent cx="4141470" cy="7346315"/>
            <wp:effectExtent l="0" t="0" r="11430" b="6985"/>
            <wp:docPr id="23" name="图片 23" descr="112-113额尔古纳市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12-113额尔古纳市z"/>
                    <pic:cNvPicPr>
                      <a:picLocks noChangeAspect="1"/>
                    </pic:cNvPicPr>
                  </pic:nvPicPr>
                  <pic:blipFill>
                    <a:blip r:embed="rId21"/>
                    <a:stretch>
                      <a:fillRect/>
                    </a:stretch>
                  </pic:blipFill>
                  <pic:spPr>
                    <a:xfrm>
                      <a:off x="0" y="0"/>
                      <a:ext cx="4141470" cy="7346315"/>
                    </a:xfrm>
                    <a:prstGeom prst="rect">
                      <a:avLst/>
                    </a:prstGeom>
                  </pic:spPr>
                </pic:pic>
              </a:graphicData>
            </a:graphic>
          </wp:inline>
        </w:drawing>
      </w:r>
    </w:p>
    <w:p w14:paraId="3D051424">
      <w:pPr>
        <w:adjustRightInd w:val="0"/>
        <w:snapToGrid w:val="0"/>
        <w:spacing w:line="360" w:lineRule="auto"/>
        <w:ind w:left="0"/>
        <w:textAlignment w:val="auto"/>
        <w:outlineLvl w:val="0"/>
        <w:rPr>
          <w:rFonts w:hint="eastAsia" w:eastAsia="仿宋"/>
          <w:b/>
          <w:color w:val="auto"/>
          <w:sz w:val="28"/>
          <w:szCs w:val="28"/>
        </w:rPr>
      </w:pPr>
      <w:bookmarkStart w:id="489" w:name="_Toc1896010345"/>
      <w:bookmarkStart w:id="490" w:name="_Toc19844"/>
      <w:r>
        <w:rPr>
          <w:rFonts w:eastAsia="仿宋"/>
          <w:b/>
          <w:color w:val="auto"/>
          <w:sz w:val="28"/>
          <w:szCs w:val="28"/>
        </w:rPr>
        <w:t>附</w:t>
      </w:r>
      <w:r>
        <w:rPr>
          <w:rFonts w:hint="eastAsia" w:eastAsia="仿宋"/>
          <w:b/>
          <w:color w:val="auto"/>
          <w:sz w:val="28"/>
          <w:szCs w:val="28"/>
          <w:lang w:val="en-US" w:eastAsia="zh-CN"/>
        </w:rPr>
        <w:t>图</w:t>
      </w:r>
      <w:r>
        <w:rPr>
          <w:rFonts w:eastAsia="仿宋"/>
          <w:b/>
          <w:color w:val="auto"/>
          <w:sz w:val="28"/>
          <w:szCs w:val="28"/>
        </w:rPr>
        <w:t>2：</w:t>
      </w:r>
      <w:r>
        <w:rPr>
          <w:rFonts w:hint="eastAsia" w:eastAsia="仿宋"/>
          <w:b/>
          <w:color w:val="auto"/>
          <w:sz w:val="28"/>
          <w:szCs w:val="28"/>
        </w:rPr>
        <w:t>内蒙古自治区主体功能区划图</w:t>
      </w:r>
      <w:bookmarkEnd w:id="489"/>
      <w:bookmarkEnd w:id="490"/>
    </w:p>
    <w:p w14:paraId="6B9201B9">
      <w:pPr>
        <w:pStyle w:val="29"/>
        <w:bidi w:val="0"/>
        <w:rPr>
          <w:rFonts w:hint="eastAsia"/>
          <w:color w:val="auto"/>
        </w:rPr>
      </w:pPr>
      <w:bookmarkStart w:id="491" w:name="_Toc1883514229"/>
      <w:r>
        <w:rPr>
          <w:color w:val="auto"/>
        </w:rPr>
        <w:drawing>
          <wp:inline distT="0" distB="0" distL="114300" distR="114300">
            <wp:extent cx="6142355" cy="4746625"/>
            <wp:effectExtent l="0" t="0" r="10795" b="15875"/>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22"/>
                    <a:srcRect l="7111" t="5637" r="7977" b="1514"/>
                    <a:stretch>
                      <a:fillRect/>
                    </a:stretch>
                  </pic:blipFill>
                  <pic:spPr>
                    <a:xfrm>
                      <a:off x="0" y="0"/>
                      <a:ext cx="6142355" cy="4746625"/>
                    </a:xfrm>
                    <a:prstGeom prst="rect">
                      <a:avLst/>
                    </a:prstGeom>
                    <a:noFill/>
                    <a:ln>
                      <a:noFill/>
                    </a:ln>
                  </pic:spPr>
                </pic:pic>
              </a:graphicData>
            </a:graphic>
          </wp:inline>
        </w:drawing>
      </w:r>
      <w:bookmarkEnd w:id="491"/>
    </w:p>
    <w:p w14:paraId="00FD00C0">
      <w:pPr>
        <w:spacing w:line="240" w:lineRule="auto"/>
        <w:ind w:left="0"/>
        <w:jc w:val="center"/>
        <w:rPr>
          <w:rFonts w:eastAsia="仿宋"/>
          <w:b/>
          <w:color w:val="auto"/>
          <w:sz w:val="28"/>
          <w:szCs w:val="28"/>
        </w:rPr>
        <w:sectPr>
          <w:footnotePr>
            <w:numFmt w:val="decimalHalfWidth"/>
          </w:footnotePr>
          <w:endnotePr>
            <w:numFmt w:val="chineseCounting"/>
          </w:endnotePr>
          <w:pgSz w:w="16837" w:h="11905" w:orient="landscape"/>
          <w:pgMar w:top="1797" w:right="1440" w:bottom="1797" w:left="1440" w:header="1191" w:footer="1474" w:gutter="0"/>
          <w:pgBorders>
            <w:top w:val="none" w:sz="0" w:space="0"/>
            <w:left w:val="none" w:sz="0" w:space="0"/>
            <w:bottom w:val="none" w:sz="0" w:space="0"/>
            <w:right w:val="none" w:sz="0" w:space="0"/>
          </w:pgBorders>
          <w:pgNumType w:fmt="decimal"/>
          <w:cols w:space="720" w:num="1"/>
          <w:docGrid w:linePitch="272" w:charSpace="0"/>
        </w:sectPr>
      </w:pPr>
    </w:p>
    <w:p w14:paraId="5597D839">
      <w:pPr>
        <w:adjustRightInd w:val="0"/>
        <w:snapToGrid w:val="0"/>
        <w:spacing w:line="360" w:lineRule="auto"/>
        <w:ind w:left="0"/>
        <w:textAlignment w:val="auto"/>
        <w:outlineLvl w:val="0"/>
        <w:rPr>
          <w:rFonts w:hint="eastAsia" w:eastAsia="仿宋"/>
          <w:b/>
          <w:color w:val="auto"/>
          <w:sz w:val="28"/>
          <w:szCs w:val="28"/>
        </w:rPr>
      </w:pPr>
      <w:bookmarkStart w:id="492" w:name="_Toc167206376"/>
      <w:bookmarkStart w:id="493" w:name="_Toc7421"/>
      <w:r>
        <w:rPr>
          <w:rFonts w:eastAsia="仿宋"/>
          <w:b/>
          <w:color w:val="auto"/>
          <w:sz w:val="28"/>
          <w:szCs w:val="28"/>
        </w:rPr>
        <w:t>附</w:t>
      </w:r>
      <w:r>
        <w:rPr>
          <w:rFonts w:hint="eastAsia" w:eastAsia="仿宋"/>
          <w:b/>
          <w:color w:val="auto"/>
          <w:sz w:val="28"/>
          <w:szCs w:val="28"/>
          <w:lang w:val="en-US" w:eastAsia="zh-CN"/>
        </w:rPr>
        <w:t>图</w:t>
      </w:r>
      <w:r>
        <w:rPr>
          <w:rFonts w:hint="eastAsia" w:eastAsia="仿宋"/>
          <w:b/>
          <w:color w:val="auto"/>
          <w:sz w:val="28"/>
          <w:szCs w:val="28"/>
        </w:rPr>
        <w:t>3</w:t>
      </w:r>
      <w:r>
        <w:rPr>
          <w:rFonts w:eastAsia="仿宋"/>
          <w:b/>
          <w:color w:val="auto"/>
          <w:sz w:val="28"/>
          <w:szCs w:val="28"/>
        </w:rPr>
        <w:t>：</w:t>
      </w:r>
      <w:r>
        <w:rPr>
          <w:rFonts w:hint="eastAsia" w:eastAsia="仿宋"/>
          <w:b/>
          <w:color w:val="auto"/>
          <w:sz w:val="28"/>
          <w:szCs w:val="28"/>
        </w:rPr>
        <w:t>呼伦贝尔市管控单元图</w:t>
      </w:r>
      <w:bookmarkEnd w:id="492"/>
      <w:bookmarkEnd w:id="493"/>
    </w:p>
    <w:p w14:paraId="169A844C">
      <w:pPr>
        <w:spacing w:line="240" w:lineRule="auto"/>
        <w:ind w:left="0" w:right="400"/>
        <w:jc w:val="center"/>
        <w:rPr>
          <w:rFonts w:hint="eastAsia"/>
          <w:color w:val="auto"/>
        </w:rPr>
      </w:pPr>
      <w:r>
        <w:rPr>
          <w:rFonts w:hint="eastAsia"/>
          <w:color w:val="auto"/>
        </w:rPr>
        <w:object>
          <v:shape id="_x0000_i1025" o:spt="75" type="#_x0000_t75" style="height:359.45pt;width:536.15pt;" o:ole="t" filled="f" o:preferrelative="t" stroked="f" coordsize="21600,21600">
            <v:path/>
            <v:fill on="f" focussize="0,0"/>
            <v:stroke on="f"/>
            <v:imagedata r:id="rId24" o:title=""/>
            <o:lock v:ext="edit" aspectratio="f"/>
            <w10:wrap type="none"/>
            <w10:anchorlock/>
          </v:shape>
          <o:OLEObject Type="Embed" ProgID="Visio.Drawing.15" ShapeID="_x0000_i1025" DrawAspect="Content" ObjectID="_1468075725" r:id="rId23">
            <o:LockedField>false</o:LockedField>
          </o:OLEObject>
        </w:object>
      </w:r>
    </w:p>
    <w:p w14:paraId="3FC400D8">
      <w:pPr>
        <w:adjustRightInd w:val="0"/>
        <w:snapToGrid w:val="0"/>
        <w:spacing w:line="360" w:lineRule="auto"/>
        <w:ind w:left="0"/>
        <w:textAlignment w:val="auto"/>
        <w:outlineLvl w:val="0"/>
        <w:rPr>
          <w:rFonts w:eastAsia="仿宋"/>
          <w:b/>
          <w:color w:val="auto"/>
          <w:sz w:val="28"/>
          <w:szCs w:val="28"/>
        </w:rPr>
        <w:sectPr>
          <w:footnotePr>
            <w:numFmt w:val="decimalHalfWidth"/>
          </w:footnotePr>
          <w:endnotePr>
            <w:numFmt w:val="chineseCounting"/>
          </w:endnotePr>
          <w:pgSz w:w="16837" w:h="11905" w:orient="landscape"/>
          <w:pgMar w:top="1797" w:right="1440" w:bottom="1797" w:left="1440" w:header="1191" w:footer="851" w:gutter="0"/>
          <w:pgBorders>
            <w:top w:val="none" w:sz="0" w:space="0"/>
            <w:left w:val="none" w:sz="0" w:space="0"/>
            <w:bottom w:val="none" w:sz="0" w:space="0"/>
            <w:right w:val="none" w:sz="0" w:space="0"/>
          </w:pgBorders>
          <w:pgNumType w:fmt="decimal"/>
          <w:cols w:space="720" w:num="1"/>
          <w:docGrid w:linePitch="272" w:charSpace="0"/>
        </w:sectPr>
      </w:pPr>
      <w:bookmarkStart w:id="494" w:name="_Toc1328951156"/>
    </w:p>
    <w:p w14:paraId="701EFE9C">
      <w:pPr>
        <w:adjustRightInd w:val="0"/>
        <w:snapToGrid w:val="0"/>
        <w:spacing w:line="360" w:lineRule="auto"/>
        <w:ind w:left="0"/>
        <w:textAlignment w:val="auto"/>
        <w:outlineLvl w:val="0"/>
        <w:rPr>
          <w:rFonts w:eastAsia="仿宋"/>
          <w:b/>
          <w:color w:val="auto"/>
          <w:sz w:val="28"/>
          <w:szCs w:val="28"/>
        </w:rPr>
      </w:pPr>
      <w:bookmarkStart w:id="495" w:name="_Toc16980"/>
      <w:r>
        <w:rPr>
          <w:rFonts w:eastAsia="仿宋"/>
          <w:b/>
          <w:color w:val="auto"/>
          <w:sz w:val="28"/>
          <w:szCs w:val="28"/>
        </w:rPr>
        <w:t>附</w:t>
      </w:r>
      <w:r>
        <w:rPr>
          <w:rFonts w:hint="eastAsia" w:eastAsia="仿宋"/>
          <w:b/>
          <w:color w:val="auto"/>
          <w:sz w:val="28"/>
          <w:szCs w:val="28"/>
          <w:lang w:val="en-US" w:eastAsia="zh-CN"/>
        </w:rPr>
        <w:t>图</w:t>
      </w:r>
      <w:r>
        <w:rPr>
          <w:rFonts w:hint="eastAsia" w:eastAsia="仿宋"/>
          <w:b/>
          <w:color w:val="auto"/>
          <w:sz w:val="28"/>
          <w:szCs w:val="28"/>
        </w:rPr>
        <w:t>4</w:t>
      </w:r>
      <w:r>
        <w:rPr>
          <w:rFonts w:eastAsia="仿宋"/>
          <w:b/>
          <w:color w:val="auto"/>
          <w:sz w:val="28"/>
          <w:szCs w:val="28"/>
        </w:rPr>
        <w:t>：</w:t>
      </w:r>
      <w:r>
        <w:rPr>
          <w:rFonts w:hint="eastAsia" w:eastAsia="仿宋"/>
          <w:b/>
          <w:color w:val="auto"/>
          <w:sz w:val="28"/>
          <w:szCs w:val="28"/>
        </w:rPr>
        <w:t>呼伦贝尔市</w:t>
      </w:r>
      <w:r>
        <w:rPr>
          <w:rFonts w:eastAsia="仿宋"/>
          <w:b/>
          <w:color w:val="auto"/>
          <w:sz w:val="28"/>
          <w:szCs w:val="28"/>
        </w:rPr>
        <w:t>水系图</w:t>
      </w:r>
      <w:bookmarkEnd w:id="494"/>
      <w:bookmarkEnd w:id="495"/>
    </w:p>
    <w:p w14:paraId="6CEA082D">
      <w:pPr>
        <w:spacing w:line="240" w:lineRule="auto"/>
        <w:ind w:left="0"/>
        <w:jc w:val="center"/>
        <w:rPr>
          <w:rFonts w:hint="eastAsia"/>
          <w:color w:val="auto"/>
        </w:rPr>
      </w:pPr>
      <w:r>
        <w:rPr>
          <w:color w:val="auto"/>
        </w:rPr>
        <mc:AlternateContent>
          <mc:Choice Requires="wps">
            <w:drawing>
              <wp:anchor distT="0" distB="0" distL="114300" distR="114300" simplePos="0" relativeHeight="251663360" behindDoc="0" locked="0" layoutInCell="1" allowOverlap="1">
                <wp:simplePos x="0" y="0"/>
                <wp:positionH relativeFrom="column">
                  <wp:posOffset>4280535</wp:posOffset>
                </wp:positionH>
                <wp:positionV relativeFrom="paragraph">
                  <wp:posOffset>1732915</wp:posOffset>
                </wp:positionV>
                <wp:extent cx="752475" cy="323850"/>
                <wp:effectExtent l="349885" t="4445" r="21590" b="14605"/>
                <wp:wrapNone/>
                <wp:docPr id="6" name="矩形标注 6"/>
                <wp:cNvGraphicFramePr/>
                <a:graphic xmlns:a="http://schemas.openxmlformats.org/drawingml/2006/main">
                  <a:graphicData uri="http://schemas.microsoft.com/office/word/2010/wordprocessingShape">
                    <wps:wsp>
                      <wps:cNvSpPr/>
                      <wps:spPr>
                        <a:xfrm>
                          <a:off x="0" y="0"/>
                          <a:ext cx="752475" cy="323850"/>
                        </a:xfrm>
                        <a:prstGeom prst="wedgeRectCallout">
                          <a:avLst>
                            <a:gd name="adj1" fmla="val -91602"/>
                            <a:gd name="adj2" fmla="val -18824"/>
                          </a:avLst>
                        </a:prstGeom>
                        <a:noFill/>
                        <a:ln w="9525" cap="flat" cmpd="sng">
                          <a:solidFill>
                            <a:srgbClr val="FF0000"/>
                          </a:solidFill>
                          <a:prstDash val="solid"/>
                          <a:miter/>
                          <a:headEnd type="none" w="med" len="med"/>
                          <a:tailEnd type="none" w="med" len="med"/>
                        </a:ln>
                      </wps:spPr>
                      <wps:txbx>
                        <w:txbxContent>
                          <w:p w14:paraId="024A865F">
                            <w:pPr>
                              <w:ind w:left="0"/>
                              <w:rPr>
                                <w:color w:val="FF0000"/>
                              </w:rPr>
                            </w:pPr>
                            <w:r>
                              <w:rPr>
                                <w:rFonts w:hint="eastAsia"/>
                                <w:color w:val="FF0000"/>
                              </w:rPr>
                              <w:t>额尔古纳市</w:t>
                            </w:r>
                          </w:p>
                        </w:txbxContent>
                      </wps:txbx>
                      <wps:bodyPr upright="1"/>
                    </wps:wsp>
                  </a:graphicData>
                </a:graphic>
              </wp:anchor>
            </w:drawing>
          </mc:Choice>
          <mc:Fallback>
            <w:pict>
              <v:shape id="_x0000_s1026" o:spid="_x0000_s1026" o:spt="61" type="#_x0000_t61" style="position:absolute;left:0pt;margin-left:337.05pt;margin-top:136.45pt;height:25.5pt;width:59.25pt;z-index:251663360;mso-width-relative:page;mso-height-relative:page;" filled="f" stroked="t" coordsize="21600,21600" o:gfxdata="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MxWqQrYAAAACwEAAA8AAAAAAAAAAQAgAAAAIgAAAGRycy9kb3ducmV2&#10;LnhtbFBLAQIUABQAAAAIAIdO4kBRLjd7NQIAAGQEAAAOAAAAAAAAAAEAIAAAACcBAABkcnMvZTJv&#10;RG9jLnhtbFBLBQYAAAAABgAGAFkBAADOBQAAAAA=&#10;" adj="-8986,6734">
                <v:fill on="f" focussize="0,0"/>
                <v:stroke color="#FF0000" joinstyle="miter"/>
                <v:imagedata o:title=""/>
                <o:lock v:ext="edit" aspectratio="f"/>
                <v:textbox>
                  <w:txbxContent>
                    <w:p w14:paraId="024A865F">
                      <w:pPr>
                        <w:ind w:left="0"/>
                        <w:rPr>
                          <w:color w:val="FF0000"/>
                        </w:rPr>
                      </w:pPr>
                      <w:r>
                        <w:rPr>
                          <w:rFonts w:hint="eastAsia"/>
                          <w:color w:val="FF0000"/>
                        </w:rPr>
                        <w:t>额尔古纳市</w:t>
                      </w:r>
                    </w:p>
                  </w:txbxContent>
                </v:textbox>
              </v:shape>
            </w:pict>
          </mc:Fallback>
        </mc:AlternateContent>
      </w:r>
      <w:r>
        <w:rPr>
          <w:color w:val="auto"/>
        </w:rPr>
        <mc:AlternateContent>
          <mc:Choice Requires="wps">
            <w:drawing>
              <wp:anchor distT="0" distB="0" distL="114300" distR="114300" simplePos="0" relativeHeight="251662336" behindDoc="0" locked="0" layoutInCell="1" allowOverlap="1">
                <wp:simplePos x="0" y="0"/>
                <wp:positionH relativeFrom="column">
                  <wp:posOffset>3660775</wp:posOffset>
                </wp:positionH>
                <wp:positionV relativeFrom="paragraph">
                  <wp:posOffset>1732915</wp:posOffset>
                </wp:positionV>
                <wp:extent cx="323850" cy="200025"/>
                <wp:effectExtent l="20955" t="10795" r="36195" b="17780"/>
                <wp:wrapNone/>
                <wp:docPr id="15" name="五角星 15"/>
                <wp:cNvGraphicFramePr/>
                <a:graphic xmlns:a="http://schemas.openxmlformats.org/drawingml/2006/main">
                  <a:graphicData uri="http://schemas.microsoft.com/office/word/2010/wordprocessingShape">
                    <wps:wsp>
                      <wps:cNvSpPr/>
                      <wps:spPr>
                        <a:xfrm>
                          <a:off x="0" y="0"/>
                          <a:ext cx="323850" cy="200025"/>
                        </a:xfrm>
                        <a:prstGeom prst="star5">
                          <a:avLst/>
                        </a:prstGeom>
                        <a:solidFill>
                          <a:srgbClr val="FF0000"/>
                        </a:solidFill>
                        <a:ln w="9525" cap="flat" cmpd="sng">
                          <a:solidFill>
                            <a:srgbClr val="FF0000"/>
                          </a:solidFill>
                          <a:prstDash val="solid"/>
                          <a:miter/>
                          <a:headEnd type="none" w="med" len="med"/>
                          <a:tailEnd type="none" w="med" len="med"/>
                        </a:ln>
                      </wps:spPr>
                      <wps:txbx>
                        <w:txbxContent>
                          <w:p w14:paraId="604D73BB"/>
                        </w:txbxContent>
                      </wps:txbx>
                      <wps:bodyPr upright="1"/>
                    </wps:wsp>
                  </a:graphicData>
                </a:graphic>
              </wp:anchor>
            </w:drawing>
          </mc:Choice>
          <mc:Fallback>
            <w:pict>
              <v:shape id="_x0000_s1026" o:spid="_x0000_s1026" style="position:absolute;left:0pt;margin-left:288.25pt;margin-top:136.45pt;height:15.75pt;width:25.5pt;z-index:251662336;mso-width-relative:page;mso-height-relative:page;" fillcolor="#FF0000" filled="t" stroked="t" coordsize="323850,200025" o:gfxdata="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e69udkAAAALAQAADwAAAAAAAAABACAAAAAiAAAAZHJz&#10;L2Rvd25yZXYueG1sUEsBAhQAFAAAAAgAh07iQKZWG9cDAgAALgQAAA4AAAAAAAAAAQAgAAAAKAEA&#10;AGRycy9lMm9Eb2MueG1sUEsFBgAAAAAGAAYAWQEAAJ0FAAAAAA==&#10;" path="m0,76402l123700,76403,161925,0,200149,76403,323849,76402,223773,123621,261999,200024,161925,152804,61850,200024,100076,123621xe">
                <v:path textboxrect="0,0,323850,200025" o:connectlocs="161925,0;0,76402;61850,200024;261999,200024;323849,76402" o:connectangles="247,164,82,82,0"/>
                <v:fill on="t" focussize="0,0"/>
                <v:stroke color="#FF0000" joinstyle="miter"/>
                <v:imagedata o:title=""/>
                <o:lock v:ext="edit" aspectratio="f"/>
                <v:textbox>
                  <w:txbxContent>
                    <w:p w14:paraId="604D73BB"/>
                  </w:txbxContent>
                </v:textbox>
              </v:shape>
            </w:pict>
          </mc:Fallback>
        </mc:AlternateContent>
      </w:r>
      <w:r>
        <w:rPr>
          <w:color w:val="auto"/>
        </w:rPr>
        <w:drawing>
          <wp:inline distT="0" distB="0" distL="114300" distR="114300">
            <wp:extent cx="6740525" cy="4780280"/>
            <wp:effectExtent l="0" t="0" r="3175" b="1270"/>
            <wp:docPr id="17" name="图片 9" descr="微信图片_2022040815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descr="微信图片_20220408154145"/>
                    <pic:cNvPicPr>
                      <a:picLocks noChangeAspect="1"/>
                    </pic:cNvPicPr>
                  </pic:nvPicPr>
                  <pic:blipFill>
                    <a:blip r:embed="rId25"/>
                    <a:stretch>
                      <a:fillRect/>
                    </a:stretch>
                  </pic:blipFill>
                  <pic:spPr>
                    <a:xfrm>
                      <a:off x="0" y="0"/>
                      <a:ext cx="6740525" cy="4780280"/>
                    </a:xfrm>
                    <a:prstGeom prst="rect">
                      <a:avLst/>
                    </a:prstGeom>
                    <a:noFill/>
                    <a:ln>
                      <a:noFill/>
                    </a:ln>
                  </pic:spPr>
                </pic:pic>
              </a:graphicData>
            </a:graphic>
          </wp:inline>
        </w:drawing>
      </w:r>
    </w:p>
    <w:sectPr>
      <w:footnotePr>
        <w:numFmt w:val="decimalHalfWidth"/>
      </w:footnotePr>
      <w:endnotePr>
        <w:numFmt w:val="chineseCounting"/>
      </w:endnotePr>
      <w:pgSz w:w="16837" w:h="11905" w:orient="landscape"/>
      <w:pgMar w:top="1797" w:right="1440" w:bottom="1797" w:left="1440" w:header="1191" w:footer="851" w:gutter="0"/>
      <w:pgBorders>
        <w:top w:val="none" w:sz="0" w:space="0"/>
        <w:left w:val="none" w:sz="0" w:space="0"/>
        <w:bottom w:val="none" w:sz="0" w:space="0"/>
        <w:right w:val="none" w:sz="0" w:space="0"/>
      </w:pgBorders>
      <w:pgNumType w:fmt="decimal"/>
      <w:cols w:space="72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华文仿宋">
    <w:altName w:val="汉仪仿宋简"/>
    <w:panose1 w:val="02010600040101010101"/>
    <w:charset w:val="86"/>
    <w:family w:val="auto"/>
    <w:pitch w:val="default"/>
    <w:sig w:usb0="00000000" w:usb1="00000000" w:usb2="00000000" w:usb3="00000000" w:csb0="0004009F" w:csb1="DFD70000"/>
  </w:font>
  <w:font w:name="汉仪仿宋简">
    <w:panose1 w:val="02010600000101010101"/>
    <w:charset w:val="86"/>
    <w:family w:val="auto"/>
    <w:pitch w:val="default"/>
    <w:sig w:usb0="00000001" w:usb1="080E0800" w:usb2="00000002"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86F9E">
    <w:pPr>
      <w:pStyle w:val="16"/>
      <w:jc w:val="center"/>
    </w:pPr>
    <w:r>
      <w:fldChar w:fldCharType="begin"/>
    </w:r>
    <w:r>
      <w:instrText xml:space="preserve"> PAGE   \* MERGEFORMAT </w:instrText>
    </w:r>
    <w:r>
      <w:fldChar w:fldCharType="separate"/>
    </w:r>
    <w:r>
      <w:rPr>
        <w:lang w:val="zh-CN"/>
      </w:rPr>
      <w:t>3</w:t>
    </w:r>
    <w:r>
      <w:fldChar w:fldCharType="end"/>
    </w:r>
  </w:p>
  <w:p w14:paraId="7C4FB067">
    <w:pPr>
      <w:spacing w:line="1" w:lineRule="atLeast"/>
      <w:ind w:left="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42110">
    <w:pPr>
      <w:pStyle w:val="16"/>
      <w:framePr w:wrap="around" w:vAnchor="text" w:hAnchor="margin" w:xAlign="center" w:y="1"/>
      <w:rPr>
        <w:rStyle w:val="24"/>
      </w:rPr>
    </w:pPr>
    <w:r>
      <w:fldChar w:fldCharType="begin"/>
    </w:r>
    <w:r>
      <w:rPr>
        <w:rStyle w:val="24"/>
      </w:rPr>
      <w:instrText xml:space="preserve">PAGE  </w:instrText>
    </w:r>
    <w:r>
      <w:fldChar w:fldCharType="separate"/>
    </w:r>
    <w:r>
      <w:rPr>
        <w:rStyle w:val="24"/>
      </w:rPr>
      <w:t>44</w:t>
    </w:r>
    <w:r>
      <w:fldChar w:fldCharType="end"/>
    </w:r>
  </w:p>
  <w:p w14:paraId="62689156">
    <w:pPr>
      <w:spacing w:line="1" w:lineRule="atLeast"/>
    </w:pPr>
    <w:r>
      <mc:AlternateContent>
        <mc:Choice Requires="wps">
          <w:drawing>
            <wp:inline distT="0" distB="0" distL="114300" distR="114300">
              <wp:extent cx="5615940" cy="719455"/>
              <wp:effectExtent l="0" t="0" r="0" b="0"/>
              <wp:docPr id="4" name="文本框 4"/>
              <wp:cNvGraphicFramePr/>
              <a:graphic xmlns:a="http://schemas.openxmlformats.org/drawingml/2006/main">
                <a:graphicData uri="http://schemas.microsoft.com/office/word/2010/wordprocessingShape">
                  <wps:wsp>
                    <wps:cNvSpPr txBox="1">
                      <a:spLocks noRot="1" noChangeArrowheads="1"/>
                    </wps:cNvSpPr>
                    <wps:spPr bwMode="auto">
                      <a:xfrm>
                        <a:off x="0" y="0"/>
                        <a:ext cx="5615940" cy="719455"/>
                      </a:xfrm>
                      <a:prstGeom prst="rect">
                        <a:avLst/>
                      </a:prstGeom>
                      <a:noFill/>
                      <a:ln>
                        <a:noFill/>
                      </a:ln>
                      <a:effectLst/>
                    </wps:spPr>
                    <wps:txbx>
                      <w:txbxContent>
                        <w:p w14:paraId="70FE69B4">
                          <w:pPr>
                            <w:spacing w:line="480" w:lineRule="atLeast"/>
                            <w:jc w:val="left"/>
                            <w:rPr>
                              <w:rFonts w:ascii="仿宋_GB2312" w:hAnsi="仿宋_GB2312" w:eastAsia="仿宋_GB2312"/>
                              <w:sz w:val="32"/>
                            </w:rPr>
                          </w:pPr>
                          <w:r>
                            <w:rPr>
                              <w:rFonts w:hint="eastAsia" w:ascii="仿宋_GB2312" w:hAnsi="仿宋_GB2312" w:eastAsia="仿宋_GB2312"/>
                              <w:sz w:val="32"/>
                            </w:rPr>
                            <w:t>-</w:t>
                          </w:r>
                          <w:r>
                            <w:rPr>
                              <w:rFonts w:hint="eastAsia" w:ascii="仿宋_GB2312" w:hAnsi="仿宋_GB2312" w:eastAsia="仿宋_GB2312"/>
                              <w:sz w:val="32"/>
                            </w:rPr>
                            <w:fldChar w:fldCharType="begin"/>
                          </w:r>
                          <w:r>
                            <w:rPr>
                              <w:rFonts w:hint="eastAsia" w:ascii="仿宋_GB2312" w:hAnsi="仿宋_GB2312" w:eastAsia="仿宋_GB2312"/>
                              <w:sz w:val="32"/>
                            </w:rPr>
                            <w:instrText xml:space="preserve"> PAGE \* Arabic \* MERGEFORMAT </w:instrText>
                          </w:r>
                          <w:r>
                            <w:rPr>
                              <w:rFonts w:hint="eastAsia" w:ascii="仿宋_GB2312" w:hAnsi="仿宋_GB2312" w:eastAsia="仿宋_GB2312"/>
                              <w:sz w:val="32"/>
                            </w:rPr>
                            <w:fldChar w:fldCharType="separate"/>
                          </w:r>
                          <w:r>
                            <w:rPr>
                              <w:rFonts w:ascii="仿宋_GB2312" w:hAnsi="仿宋_GB2312" w:eastAsia="仿宋_GB2312"/>
                              <w:sz w:val="32"/>
                            </w:rPr>
                            <w:t>44</w:t>
                          </w:r>
                          <w:r>
                            <w:rPr>
                              <w:rFonts w:hint="eastAsia" w:ascii="仿宋_GB2312" w:hAnsi="仿宋_GB2312" w:eastAsia="仿宋_GB2312"/>
                              <w:sz w:val="32"/>
                            </w:rPr>
                            <w:fldChar w:fldCharType="end"/>
                          </w:r>
                          <w:r>
                            <w:rPr>
                              <w:rFonts w:hint="eastAsia" w:ascii="仿宋_GB2312" w:hAnsi="仿宋_GB2312" w:eastAsia="仿宋_GB2312"/>
                              <w:sz w:val="32"/>
                            </w:rPr>
                            <w:t>-</w:t>
                          </w:r>
                        </w:p>
                      </w:txbxContent>
                    </wps:txbx>
                    <wps:bodyPr rot="0" vert="horz" wrap="square" lIns="0" tIns="0" rIns="0" bIns="0" anchor="t" anchorCtr="0" upright="1">
                      <a:noAutofit/>
                    </wps:bodyPr>
                  </wps:wsp>
                </a:graphicData>
              </a:graphic>
            </wp:inline>
          </w:drawing>
        </mc:Choice>
        <mc:Fallback>
          <w:pict>
            <v:shape id="_x0000_s1026" o:spid="_x0000_s1026" o:spt="202" type="#_x0000_t202" style="height:56.65pt;width:442.2pt;" filled="f" stroked="f" coordsize="21600,21600" o:gfxdata="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VoXx9UAAAAFAQAADwAA&#10;AAAAAAABACAAAAAiAAAAZHJzL2Rvd25yZXYueG1sUEsBAhQAFAAAAAgAh07iQDuuvnUZAgAAHQQA&#10;AA4AAAAAAAAAAQAgAAAAJAEAAGRycy9lMm9Eb2MueG1sUEsFBgAAAAAGAAYAWQEAAK8FAAAAAA==&#10;">
              <v:fill on="f" focussize="0,0"/>
              <v:stroke on="f"/>
              <v:imagedata o:title=""/>
              <o:lock v:ext="edit" rotation="t" aspectratio="f"/>
              <v:textbox inset="0mm,0mm,0mm,0mm">
                <w:txbxContent>
                  <w:p w14:paraId="70FE69B4">
                    <w:pPr>
                      <w:spacing w:line="480" w:lineRule="atLeast"/>
                      <w:jc w:val="left"/>
                      <w:rPr>
                        <w:rFonts w:ascii="仿宋_GB2312" w:hAnsi="仿宋_GB2312" w:eastAsia="仿宋_GB2312"/>
                        <w:sz w:val="32"/>
                      </w:rPr>
                    </w:pPr>
                    <w:r>
                      <w:rPr>
                        <w:rFonts w:hint="eastAsia" w:ascii="仿宋_GB2312" w:hAnsi="仿宋_GB2312" w:eastAsia="仿宋_GB2312"/>
                        <w:sz w:val="32"/>
                      </w:rPr>
                      <w:t>-</w:t>
                    </w:r>
                    <w:r>
                      <w:rPr>
                        <w:rFonts w:hint="eastAsia" w:ascii="仿宋_GB2312" w:hAnsi="仿宋_GB2312" w:eastAsia="仿宋_GB2312"/>
                        <w:sz w:val="32"/>
                      </w:rPr>
                      <w:fldChar w:fldCharType="begin"/>
                    </w:r>
                    <w:r>
                      <w:rPr>
                        <w:rFonts w:hint="eastAsia" w:ascii="仿宋_GB2312" w:hAnsi="仿宋_GB2312" w:eastAsia="仿宋_GB2312"/>
                        <w:sz w:val="32"/>
                      </w:rPr>
                      <w:instrText xml:space="preserve"> PAGE \* Arabic \* MERGEFORMAT </w:instrText>
                    </w:r>
                    <w:r>
                      <w:rPr>
                        <w:rFonts w:hint="eastAsia" w:ascii="仿宋_GB2312" w:hAnsi="仿宋_GB2312" w:eastAsia="仿宋_GB2312"/>
                        <w:sz w:val="32"/>
                      </w:rPr>
                      <w:fldChar w:fldCharType="separate"/>
                    </w:r>
                    <w:r>
                      <w:rPr>
                        <w:rFonts w:ascii="仿宋_GB2312" w:hAnsi="仿宋_GB2312" w:eastAsia="仿宋_GB2312"/>
                        <w:sz w:val="32"/>
                      </w:rPr>
                      <w:t>44</w:t>
                    </w:r>
                    <w:r>
                      <w:rPr>
                        <w:rFonts w:hint="eastAsia" w:ascii="仿宋_GB2312" w:hAnsi="仿宋_GB2312" w:eastAsia="仿宋_GB2312"/>
                        <w:sz w:val="32"/>
                      </w:rPr>
                      <w:fldChar w:fldCharType="end"/>
                    </w:r>
                    <w:r>
                      <w:rPr>
                        <w:rFonts w:hint="eastAsia" w:ascii="仿宋_GB2312" w:hAnsi="仿宋_GB2312" w:eastAsia="仿宋_GB2312"/>
                        <w:sz w:val="32"/>
                      </w:rPr>
                      <w:t>-</w:t>
                    </w:r>
                  </w:p>
                </w:txbxContent>
              </v:textbox>
              <w10:wrap type="none"/>
              <w10:anchorlock/>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DC37E">
    <w:pPr>
      <w:pStyle w:val="16"/>
      <w:jc w:val="center"/>
      <w:rPr>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77A75">
    <w:pPr>
      <w:pStyle w:val="16"/>
      <w:jc w:val="center"/>
      <w:rPr>
        <w:sz w:val="24"/>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9501B">
    <w:pPr>
      <w:pStyle w:val="1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B2EA75">
                          <w:pPr>
                            <w:pStyle w:val="16"/>
                            <w:jc w:val="center"/>
                          </w:pPr>
                          <w:r>
                            <w:fldChar w:fldCharType="begin"/>
                          </w:r>
                          <w:r>
                            <w:instrText xml:space="preserve"> PAGE   \* MERGEFORMAT </w:instrText>
                          </w:r>
                          <w:r>
                            <w:fldChar w:fldCharType="separate"/>
                          </w:r>
                          <w:r>
                            <w:rPr>
                              <w:lang w:val="zh-CN"/>
                            </w:rP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FB2EA75">
                    <w:pPr>
                      <w:pStyle w:val="16"/>
                      <w:jc w:val="center"/>
                    </w:pPr>
                    <w:r>
                      <w:fldChar w:fldCharType="begin"/>
                    </w:r>
                    <w:r>
                      <w:instrText xml:space="preserve"> PAGE   \* MERGEFORMAT </w:instrText>
                    </w:r>
                    <w:r>
                      <w:fldChar w:fldCharType="separate"/>
                    </w:r>
                    <w:r>
                      <w:rPr>
                        <w:lang w:val="zh-CN"/>
                      </w:rP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E4DE4">
    <w:pPr>
      <w:pStyle w:val="16"/>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41</w:t>
    </w:r>
    <w:r>
      <w:rPr>
        <w:sz w:val="24"/>
        <w:szCs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20BCA">
    <w:pPr>
      <w:spacing w:line="1" w:lineRule="atLeast"/>
      <w:ind w:left="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0122B">
    <w:pPr>
      <w:spacing w:line="1" w:lineRule="atLeast"/>
      <w:ind w:left="0"/>
    </w:pPr>
    <w:r>
      <w:rPr>
        <w:sz w:val="20"/>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FB9CF6">
                          <w:pPr>
                            <w:pStyle w:val="16"/>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8FB9CF6">
                    <w:pPr>
                      <w:pStyle w:val="16"/>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6C4D0">
    <w:pPr>
      <w:pStyle w:val="17"/>
      <w:widowControl w:val="0"/>
      <w:pBdr>
        <w:top w:val="none" w:color="auto" w:sz="0" w:space="1"/>
        <w:left w:val="none" w:color="auto" w:sz="0" w:space="4"/>
        <w:bottom w:val="thinThickSmallGap" w:color="auto" w:sz="24" w:space="1"/>
        <w:right w:val="none" w:color="auto" w:sz="0" w:space="4"/>
        <w:between w:val="none" w:color="auto" w:sz="0" w:space="0"/>
      </w:pBdr>
      <w:snapToGrid w:val="0"/>
      <w:spacing w:line="240" w:lineRule="atLeast"/>
      <w:ind w:left="1" w:leftChars="0"/>
      <w:jc w:val="center"/>
      <w:textAlignment w:val="bottom"/>
    </w:pPr>
    <w:r>
      <w:rPr>
        <w:rFonts w:hint="eastAsia" w:ascii="华文仿宋" w:hAnsi="华文仿宋" w:eastAsia="华文仿宋"/>
        <w:sz w:val="24"/>
        <w:szCs w:val="24"/>
      </w:rPr>
      <w:t>额尔古纳市突发环境事件应急预案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97A29">
    <w:pPr>
      <w:spacing w:line="1" w:lineRule="atLeast"/>
    </w:pPr>
    <w:r>
      <mc:AlternateContent>
        <mc:Choice Requires="wps">
          <w:drawing>
            <wp:inline distT="0" distB="0" distL="114300" distR="114300">
              <wp:extent cx="5615940" cy="1331595"/>
              <wp:effectExtent l="0" t="0" r="0" b="0"/>
              <wp:docPr id="2" name="文本框 2"/>
              <wp:cNvGraphicFramePr/>
              <a:graphic xmlns:a="http://schemas.openxmlformats.org/drawingml/2006/main">
                <a:graphicData uri="http://schemas.microsoft.com/office/word/2010/wordprocessingShape">
                  <wps:wsp>
                    <wps:cNvSpPr txBox="1">
                      <a:spLocks noRot="1" noChangeArrowheads="1"/>
                    </wps:cNvSpPr>
                    <wps:spPr bwMode="auto">
                      <a:xfrm>
                        <a:off x="0" y="0"/>
                        <a:ext cx="5615940" cy="1331595"/>
                      </a:xfrm>
                      <a:prstGeom prst="rect">
                        <a:avLst/>
                      </a:prstGeom>
                      <a:noFill/>
                      <a:ln>
                        <a:noFill/>
                      </a:ln>
                      <a:effectLst/>
                    </wps:spPr>
                    <wps:txbx>
                      <w:txbxContent>
                        <w:p w14:paraId="0B09E661">
                          <w:pPr>
                            <w:spacing w:line="334" w:lineRule="atLeast"/>
                            <w:rPr>
                              <w:sz w:val="21"/>
                            </w:rPr>
                          </w:pPr>
                        </w:p>
                      </w:txbxContent>
                    </wps:txbx>
                    <wps:bodyPr rot="0" vert="horz" wrap="square" lIns="0" tIns="0" rIns="0" bIns="0" anchor="t" anchorCtr="0" upright="1">
                      <a:noAutofit/>
                    </wps:bodyPr>
                  </wps:wsp>
                </a:graphicData>
              </a:graphic>
            </wp:inline>
          </w:drawing>
        </mc:Choice>
        <mc:Fallback>
          <w:pict>
            <v:shape id="_x0000_s1026" o:spid="_x0000_s1026" o:spt="202" type="#_x0000_t202" style="height:104.85pt;width:442.2pt;" filled="f" stroked="f" coordsize="21600,21600" o:gfxdata="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9nI39YAAAAFAQAADwAA&#10;AAAAAAABACAAAAAiAAAAZHJzL2Rvd25yZXYueG1sUEsBAhQAFAAAAAgAh07iQAWqyYwYAgAAHgQA&#10;AA4AAAAAAAAAAQAgAAAAJQEAAGRycy9lMm9Eb2MueG1sUEsFBgAAAAAGAAYAWQEAAK8FAAAAAA==&#10;">
              <v:fill on="f" focussize="0,0"/>
              <v:stroke on="f"/>
              <v:imagedata o:title=""/>
              <o:lock v:ext="edit" rotation="t" aspectratio="f"/>
              <v:textbox inset="0mm,0mm,0mm,0mm">
                <w:txbxContent>
                  <w:p w14:paraId="0B09E661">
                    <w:pPr>
                      <w:spacing w:line="334" w:lineRule="atLeast"/>
                      <w:rPr>
                        <w:sz w:val="21"/>
                      </w:rPr>
                    </w:pPr>
                  </w:p>
                </w:txbxContent>
              </v:textbox>
              <w10:wrap type="none"/>
              <w10:anchorlock/>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35BA3"/>
    <w:multiLevelType w:val="multilevel"/>
    <w:tmpl w:val="0EE35BA3"/>
    <w:lvl w:ilvl="0" w:tentative="0">
      <w:start w:val="1"/>
      <w:numFmt w:val="bullet"/>
      <w:lvlText w:val=""/>
      <w:lvlJc w:val="left"/>
      <w:pPr>
        <w:ind w:left="1060" w:hanging="420"/>
      </w:pPr>
      <w:rPr>
        <w:rFonts w:hint="default" w:ascii="Wingdings" w:hAnsi="Wingdings"/>
      </w:rPr>
    </w:lvl>
    <w:lvl w:ilvl="1" w:tentative="0">
      <w:start w:val="1"/>
      <w:numFmt w:val="bullet"/>
      <w:lvlText w:val=""/>
      <w:lvlJc w:val="left"/>
      <w:pPr>
        <w:ind w:left="1480" w:hanging="420"/>
      </w:pPr>
      <w:rPr>
        <w:rFonts w:hint="default" w:ascii="Wingdings" w:hAnsi="Wingdings"/>
      </w:rPr>
    </w:lvl>
    <w:lvl w:ilvl="2" w:tentative="0">
      <w:start w:val="1"/>
      <w:numFmt w:val="bullet"/>
      <w:lvlText w:val=""/>
      <w:lvlJc w:val="left"/>
      <w:pPr>
        <w:ind w:left="1900" w:hanging="420"/>
      </w:pPr>
      <w:rPr>
        <w:rFonts w:hint="default" w:ascii="Wingdings" w:hAnsi="Wingdings"/>
      </w:rPr>
    </w:lvl>
    <w:lvl w:ilvl="3" w:tentative="0">
      <w:start w:val="1"/>
      <w:numFmt w:val="bullet"/>
      <w:lvlText w:val=""/>
      <w:lvlJc w:val="left"/>
      <w:pPr>
        <w:ind w:left="2320" w:hanging="420"/>
      </w:pPr>
      <w:rPr>
        <w:rFonts w:hint="default" w:ascii="Wingdings" w:hAnsi="Wingdings"/>
      </w:rPr>
    </w:lvl>
    <w:lvl w:ilvl="4" w:tentative="0">
      <w:start w:val="1"/>
      <w:numFmt w:val="bullet"/>
      <w:lvlText w:val=""/>
      <w:lvlJc w:val="left"/>
      <w:pPr>
        <w:ind w:left="2740" w:hanging="420"/>
      </w:pPr>
      <w:rPr>
        <w:rFonts w:hint="default" w:ascii="Wingdings" w:hAnsi="Wingdings"/>
      </w:rPr>
    </w:lvl>
    <w:lvl w:ilvl="5" w:tentative="0">
      <w:start w:val="1"/>
      <w:numFmt w:val="bullet"/>
      <w:lvlText w:val=""/>
      <w:lvlJc w:val="left"/>
      <w:pPr>
        <w:ind w:left="3160" w:hanging="420"/>
      </w:pPr>
      <w:rPr>
        <w:rFonts w:hint="default" w:ascii="Wingdings" w:hAnsi="Wingdings"/>
      </w:rPr>
    </w:lvl>
    <w:lvl w:ilvl="6" w:tentative="0">
      <w:start w:val="1"/>
      <w:numFmt w:val="bullet"/>
      <w:lvlText w:val=""/>
      <w:lvlJc w:val="left"/>
      <w:pPr>
        <w:ind w:left="3580" w:hanging="420"/>
      </w:pPr>
      <w:rPr>
        <w:rFonts w:hint="default" w:ascii="Wingdings" w:hAnsi="Wingdings"/>
      </w:rPr>
    </w:lvl>
    <w:lvl w:ilvl="7" w:tentative="0">
      <w:start w:val="1"/>
      <w:numFmt w:val="bullet"/>
      <w:lvlText w:val=""/>
      <w:lvlJc w:val="left"/>
      <w:pPr>
        <w:ind w:left="4000" w:hanging="420"/>
      </w:pPr>
      <w:rPr>
        <w:rFonts w:hint="default" w:ascii="Wingdings" w:hAnsi="Wingdings"/>
      </w:rPr>
    </w:lvl>
    <w:lvl w:ilvl="8" w:tentative="0">
      <w:start w:val="1"/>
      <w:numFmt w:val="bullet"/>
      <w:lvlText w:val=""/>
      <w:lvlJc w:val="left"/>
      <w:pPr>
        <w:ind w:left="4420" w:hanging="420"/>
      </w:pPr>
      <w:rPr>
        <w:rFonts w:hint="default" w:ascii="Wingdings" w:hAnsi="Wingdings"/>
      </w:rPr>
    </w:lvl>
  </w:abstractNum>
  <w:abstractNum w:abstractNumId="1">
    <w:nsid w:val="1A1125F2"/>
    <w:multiLevelType w:val="multilevel"/>
    <w:tmpl w:val="1A1125F2"/>
    <w:lvl w:ilvl="0" w:tentative="0">
      <w:start w:val="1"/>
      <w:numFmt w:val="bullet"/>
      <w:lvlText w:val=""/>
      <w:lvlJc w:val="left"/>
      <w:pPr>
        <w:ind w:left="981" w:hanging="420"/>
      </w:pPr>
      <w:rPr>
        <w:rFonts w:hint="default" w:ascii="Wingdings" w:hAnsi="Wingdings"/>
      </w:rPr>
    </w:lvl>
    <w:lvl w:ilvl="1" w:tentative="0">
      <w:start w:val="1"/>
      <w:numFmt w:val="bullet"/>
      <w:lvlText w:val=""/>
      <w:lvlJc w:val="left"/>
      <w:pPr>
        <w:ind w:left="1401" w:hanging="420"/>
      </w:pPr>
      <w:rPr>
        <w:rFonts w:hint="default" w:ascii="Wingdings" w:hAnsi="Wingdings"/>
      </w:rPr>
    </w:lvl>
    <w:lvl w:ilvl="2" w:tentative="0">
      <w:start w:val="1"/>
      <w:numFmt w:val="bullet"/>
      <w:lvlText w:val=""/>
      <w:lvlJc w:val="left"/>
      <w:pPr>
        <w:ind w:left="1821" w:hanging="420"/>
      </w:pPr>
      <w:rPr>
        <w:rFonts w:hint="default" w:ascii="Wingdings" w:hAnsi="Wingdings"/>
      </w:rPr>
    </w:lvl>
    <w:lvl w:ilvl="3" w:tentative="0">
      <w:start w:val="1"/>
      <w:numFmt w:val="bullet"/>
      <w:lvlText w:val=""/>
      <w:lvlJc w:val="left"/>
      <w:pPr>
        <w:ind w:left="2241" w:hanging="420"/>
      </w:pPr>
      <w:rPr>
        <w:rFonts w:hint="default" w:ascii="Wingdings" w:hAnsi="Wingdings"/>
      </w:rPr>
    </w:lvl>
    <w:lvl w:ilvl="4" w:tentative="0">
      <w:start w:val="1"/>
      <w:numFmt w:val="bullet"/>
      <w:lvlText w:val=""/>
      <w:lvlJc w:val="left"/>
      <w:pPr>
        <w:ind w:left="2661" w:hanging="420"/>
      </w:pPr>
      <w:rPr>
        <w:rFonts w:hint="default" w:ascii="Wingdings" w:hAnsi="Wingdings"/>
      </w:rPr>
    </w:lvl>
    <w:lvl w:ilvl="5" w:tentative="0">
      <w:start w:val="1"/>
      <w:numFmt w:val="bullet"/>
      <w:lvlText w:val=""/>
      <w:lvlJc w:val="left"/>
      <w:pPr>
        <w:ind w:left="3081" w:hanging="420"/>
      </w:pPr>
      <w:rPr>
        <w:rFonts w:hint="default" w:ascii="Wingdings" w:hAnsi="Wingdings"/>
      </w:rPr>
    </w:lvl>
    <w:lvl w:ilvl="6" w:tentative="0">
      <w:start w:val="1"/>
      <w:numFmt w:val="bullet"/>
      <w:lvlText w:val=""/>
      <w:lvlJc w:val="left"/>
      <w:pPr>
        <w:ind w:left="3501" w:hanging="420"/>
      </w:pPr>
      <w:rPr>
        <w:rFonts w:hint="default" w:ascii="Wingdings" w:hAnsi="Wingdings"/>
      </w:rPr>
    </w:lvl>
    <w:lvl w:ilvl="7" w:tentative="0">
      <w:start w:val="1"/>
      <w:numFmt w:val="bullet"/>
      <w:lvlText w:val=""/>
      <w:lvlJc w:val="left"/>
      <w:pPr>
        <w:ind w:left="3921" w:hanging="420"/>
      </w:pPr>
      <w:rPr>
        <w:rFonts w:hint="default" w:ascii="Wingdings" w:hAnsi="Wingdings"/>
      </w:rPr>
    </w:lvl>
    <w:lvl w:ilvl="8" w:tentative="0">
      <w:start w:val="1"/>
      <w:numFmt w:val="bullet"/>
      <w:lvlText w:val=""/>
      <w:lvlJc w:val="left"/>
      <w:pPr>
        <w:ind w:left="4341" w:hanging="420"/>
      </w:pPr>
      <w:rPr>
        <w:rFonts w:hint="default" w:ascii="Wingdings" w:hAnsi="Wingdings"/>
      </w:rPr>
    </w:lvl>
  </w:abstractNum>
  <w:abstractNum w:abstractNumId="2">
    <w:nsid w:val="1B12394D"/>
    <w:multiLevelType w:val="multilevel"/>
    <w:tmpl w:val="1B12394D"/>
    <w:lvl w:ilvl="0" w:tentative="0">
      <w:start w:val="1"/>
      <w:numFmt w:val="bullet"/>
      <w:lvlText w:val=""/>
      <w:lvlJc w:val="left"/>
      <w:pPr>
        <w:ind w:left="981" w:hanging="420"/>
      </w:pPr>
      <w:rPr>
        <w:rFonts w:hint="default" w:ascii="Wingdings" w:hAnsi="Wingdings"/>
      </w:rPr>
    </w:lvl>
    <w:lvl w:ilvl="1" w:tentative="0">
      <w:start w:val="1"/>
      <w:numFmt w:val="bullet"/>
      <w:lvlText w:val=""/>
      <w:lvlJc w:val="left"/>
      <w:pPr>
        <w:ind w:left="1401" w:hanging="420"/>
      </w:pPr>
      <w:rPr>
        <w:rFonts w:hint="default" w:ascii="Wingdings" w:hAnsi="Wingdings"/>
      </w:rPr>
    </w:lvl>
    <w:lvl w:ilvl="2" w:tentative="0">
      <w:start w:val="1"/>
      <w:numFmt w:val="bullet"/>
      <w:lvlText w:val=""/>
      <w:lvlJc w:val="left"/>
      <w:pPr>
        <w:ind w:left="1821" w:hanging="420"/>
      </w:pPr>
      <w:rPr>
        <w:rFonts w:hint="default" w:ascii="Wingdings" w:hAnsi="Wingdings"/>
      </w:rPr>
    </w:lvl>
    <w:lvl w:ilvl="3" w:tentative="0">
      <w:start w:val="1"/>
      <w:numFmt w:val="bullet"/>
      <w:lvlText w:val=""/>
      <w:lvlJc w:val="left"/>
      <w:pPr>
        <w:ind w:left="2241" w:hanging="420"/>
      </w:pPr>
      <w:rPr>
        <w:rFonts w:hint="default" w:ascii="Wingdings" w:hAnsi="Wingdings"/>
      </w:rPr>
    </w:lvl>
    <w:lvl w:ilvl="4" w:tentative="0">
      <w:start w:val="1"/>
      <w:numFmt w:val="bullet"/>
      <w:lvlText w:val=""/>
      <w:lvlJc w:val="left"/>
      <w:pPr>
        <w:ind w:left="2661" w:hanging="420"/>
      </w:pPr>
      <w:rPr>
        <w:rFonts w:hint="default" w:ascii="Wingdings" w:hAnsi="Wingdings"/>
      </w:rPr>
    </w:lvl>
    <w:lvl w:ilvl="5" w:tentative="0">
      <w:start w:val="1"/>
      <w:numFmt w:val="bullet"/>
      <w:lvlText w:val=""/>
      <w:lvlJc w:val="left"/>
      <w:pPr>
        <w:ind w:left="3081" w:hanging="420"/>
      </w:pPr>
      <w:rPr>
        <w:rFonts w:hint="default" w:ascii="Wingdings" w:hAnsi="Wingdings"/>
      </w:rPr>
    </w:lvl>
    <w:lvl w:ilvl="6" w:tentative="0">
      <w:start w:val="1"/>
      <w:numFmt w:val="bullet"/>
      <w:lvlText w:val=""/>
      <w:lvlJc w:val="left"/>
      <w:pPr>
        <w:ind w:left="3501" w:hanging="420"/>
      </w:pPr>
      <w:rPr>
        <w:rFonts w:hint="default" w:ascii="Wingdings" w:hAnsi="Wingdings"/>
      </w:rPr>
    </w:lvl>
    <w:lvl w:ilvl="7" w:tentative="0">
      <w:start w:val="1"/>
      <w:numFmt w:val="bullet"/>
      <w:lvlText w:val=""/>
      <w:lvlJc w:val="left"/>
      <w:pPr>
        <w:ind w:left="3921" w:hanging="420"/>
      </w:pPr>
      <w:rPr>
        <w:rFonts w:hint="default" w:ascii="Wingdings" w:hAnsi="Wingdings"/>
      </w:rPr>
    </w:lvl>
    <w:lvl w:ilvl="8" w:tentative="0">
      <w:start w:val="1"/>
      <w:numFmt w:val="bullet"/>
      <w:lvlText w:val=""/>
      <w:lvlJc w:val="left"/>
      <w:pPr>
        <w:ind w:left="4341" w:hanging="420"/>
      </w:pPr>
      <w:rPr>
        <w:rFonts w:hint="default" w:ascii="Wingdings" w:hAnsi="Wingdings"/>
      </w:rPr>
    </w:lvl>
  </w:abstractNum>
  <w:abstractNum w:abstractNumId="3">
    <w:nsid w:val="2C417BDB"/>
    <w:multiLevelType w:val="multilevel"/>
    <w:tmpl w:val="2C417BDB"/>
    <w:lvl w:ilvl="0" w:tentative="0">
      <w:start w:val="1"/>
      <w:numFmt w:val="bullet"/>
      <w:lvlText w:val=""/>
      <w:lvlJc w:val="left"/>
      <w:pPr>
        <w:ind w:left="981" w:hanging="420"/>
      </w:pPr>
      <w:rPr>
        <w:rFonts w:hint="default" w:ascii="Wingdings" w:hAnsi="Wingdings"/>
      </w:rPr>
    </w:lvl>
    <w:lvl w:ilvl="1" w:tentative="0">
      <w:start w:val="1"/>
      <w:numFmt w:val="bullet"/>
      <w:lvlText w:val=""/>
      <w:lvlJc w:val="left"/>
      <w:pPr>
        <w:ind w:left="1401" w:hanging="420"/>
      </w:pPr>
      <w:rPr>
        <w:rFonts w:hint="default" w:ascii="Wingdings" w:hAnsi="Wingdings"/>
      </w:rPr>
    </w:lvl>
    <w:lvl w:ilvl="2" w:tentative="0">
      <w:start w:val="1"/>
      <w:numFmt w:val="bullet"/>
      <w:lvlText w:val=""/>
      <w:lvlJc w:val="left"/>
      <w:pPr>
        <w:ind w:left="1821" w:hanging="420"/>
      </w:pPr>
      <w:rPr>
        <w:rFonts w:hint="default" w:ascii="Wingdings" w:hAnsi="Wingdings"/>
      </w:rPr>
    </w:lvl>
    <w:lvl w:ilvl="3" w:tentative="0">
      <w:start w:val="1"/>
      <w:numFmt w:val="bullet"/>
      <w:lvlText w:val=""/>
      <w:lvlJc w:val="left"/>
      <w:pPr>
        <w:ind w:left="2241" w:hanging="420"/>
      </w:pPr>
      <w:rPr>
        <w:rFonts w:hint="default" w:ascii="Wingdings" w:hAnsi="Wingdings"/>
      </w:rPr>
    </w:lvl>
    <w:lvl w:ilvl="4" w:tentative="0">
      <w:start w:val="1"/>
      <w:numFmt w:val="bullet"/>
      <w:lvlText w:val=""/>
      <w:lvlJc w:val="left"/>
      <w:pPr>
        <w:ind w:left="2661" w:hanging="420"/>
      </w:pPr>
      <w:rPr>
        <w:rFonts w:hint="default" w:ascii="Wingdings" w:hAnsi="Wingdings"/>
      </w:rPr>
    </w:lvl>
    <w:lvl w:ilvl="5" w:tentative="0">
      <w:start w:val="1"/>
      <w:numFmt w:val="bullet"/>
      <w:lvlText w:val=""/>
      <w:lvlJc w:val="left"/>
      <w:pPr>
        <w:ind w:left="3081" w:hanging="420"/>
      </w:pPr>
      <w:rPr>
        <w:rFonts w:hint="default" w:ascii="Wingdings" w:hAnsi="Wingdings"/>
      </w:rPr>
    </w:lvl>
    <w:lvl w:ilvl="6" w:tentative="0">
      <w:start w:val="1"/>
      <w:numFmt w:val="bullet"/>
      <w:lvlText w:val=""/>
      <w:lvlJc w:val="left"/>
      <w:pPr>
        <w:ind w:left="3501" w:hanging="420"/>
      </w:pPr>
      <w:rPr>
        <w:rFonts w:hint="default" w:ascii="Wingdings" w:hAnsi="Wingdings"/>
      </w:rPr>
    </w:lvl>
    <w:lvl w:ilvl="7" w:tentative="0">
      <w:start w:val="1"/>
      <w:numFmt w:val="bullet"/>
      <w:lvlText w:val=""/>
      <w:lvlJc w:val="left"/>
      <w:pPr>
        <w:ind w:left="3921" w:hanging="420"/>
      </w:pPr>
      <w:rPr>
        <w:rFonts w:hint="default" w:ascii="Wingdings" w:hAnsi="Wingdings"/>
      </w:rPr>
    </w:lvl>
    <w:lvl w:ilvl="8" w:tentative="0">
      <w:start w:val="1"/>
      <w:numFmt w:val="bullet"/>
      <w:lvlText w:val=""/>
      <w:lvlJc w:val="left"/>
      <w:pPr>
        <w:ind w:left="4341" w:hanging="420"/>
      </w:pPr>
      <w:rPr>
        <w:rFonts w:hint="default" w:ascii="Wingdings" w:hAnsi="Wingdings"/>
      </w:rPr>
    </w:lvl>
  </w:abstractNum>
  <w:abstractNum w:abstractNumId="4">
    <w:nsid w:val="2F0238B0"/>
    <w:multiLevelType w:val="multilevel"/>
    <w:tmpl w:val="2F0238B0"/>
    <w:lvl w:ilvl="0" w:tentative="0">
      <w:start w:val="1"/>
      <w:numFmt w:val="decimal"/>
      <w:pStyle w:val="4"/>
      <w:suff w:val="nothing"/>
      <w:lvlText w:val="%1."/>
      <w:lvlJc w:val="left"/>
      <w:pPr>
        <w:tabs>
          <w:tab w:val="left" w:pos="0"/>
        </w:tabs>
        <w:ind w:left="432" w:hanging="432"/>
      </w:pPr>
      <w:rPr>
        <w:rFonts w:hint="default"/>
      </w:rPr>
    </w:lvl>
    <w:lvl w:ilvl="1" w:tentative="0">
      <w:start w:val="1"/>
      <w:numFmt w:val="decimal"/>
      <w:pStyle w:val="5"/>
      <w:suff w:val="nothing"/>
      <w:lvlText w:val="%1.%2"/>
      <w:lvlJc w:val="left"/>
      <w:pPr>
        <w:tabs>
          <w:tab w:val="left" w:pos="0"/>
        </w:tabs>
        <w:ind w:left="575" w:hanging="575"/>
      </w:pPr>
      <w:rPr>
        <w:rFonts w:hint="default"/>
      </w:rPr>
    </w:lvl>
    <w:lvl w:ilvl="2" w:tentative="0">
      <w:start w:val="1"/>
      <w:numFmt w:val="decimal"/>
      <w:pStyle w:val="6"/>
      <w:suff w:val="nothing"/>
      <w:lvlText w:val="%1.%2.%3"/>
      <w:lvlJc w:val="left"/>
      <w:pPr>
        <w:ind w:left="720" w:hanging="720"/>
      </w:pPr>
      <w:rPr>
        <w:rFonts w:hint="default"/>
      </w:rPr>
    </w:lvl>
    <w:lvl w:ilvl="3" w:tentative="0">
      <w:start w:val="1"/>
      <w:numFmt w:val="decimal"/>
      <w:pStyle w:val="8"/>
      <w:lvlText w:val="%1.%2.%3.%4"/>
      <w:lvlJc w:val="left"/>
      <w:pPr>
        <w:tabs>
          <w:tab w:val="left" w:pos="420"/>
        </w:tabs>
        <w:ind w:left="864" w:hanging="864"/>
      </w:pPr>
      <w:rPr>
        <w:rFonts w:hint="default"/>
      </w:rPr>
    </w:lvl>
    <w:lvl w:ilvl="4" w:tentative="0">
      <w:start w:val="1"/>
      <w:numFmt w:val="decimal"/>
      <w:pStyle w:val="9"/>
      <w:lvlText w:val="%1.%2.%3.%4.%5."/>
      <w:lvlJc w:val="left"/>
      <w:pPr>
        <w:ind w:left="1008" w:hanging="1008"/>
      </w:pPr>
      <w:rPr>
        <w:rFonts w:hint="default"/>
      </w:rPr>
    </w:lvl>
    <w:lvl w:ilvl="5" w:tentative="0">
      <w:start w:val="1"/>
      <w:numFmt w:val="decimal"/>
      <w:pStyle w:val="10"/>
      <w:lvlText w:val="%1.%2.%3.%4.%5.%6."/>
      <w:lvlJc w:val="left"/>
      <w:pPr>
        <w:ind w:left="1151" w:hanging="1151"/>
      </w:pPr>
      <w:rPr>
        <w:rFonts w:hint="default"/>
      </w:rPr>
    </w:lvl>
    <w:lvl w:ilvl="6" w:tentative="0">
      <w:start w:val="1"/>
      <w:numFmt w:val="decimal"/>
      <w:pStyle w:val="11"/>
      <w:lvlText w:val="%1.%2.%3.%4.%5.%6.%7."/>
      <w:lvlJc w:val="left"/>
      <w:pPr>
        <w:ind w:left="1296" w:hanging="1296"/>
      </w:pPr>
      <w:rPr>
        <w:rFonts w:hint="default"/>
      </w:rPr>
    </w:lvl>
    <w:lvl w:ilvl="7" w:tentative="0">
      <w:start w:val="1"/>
      <w:numFmt w:val="decimal"/>
      <w:pStyle w:val="12"/>
      <w:lvlText w:val="%1.%2.%3.%4.%5.%6.%7.%8."/>
      <w:lvlJc w:val="left"/>
      <w:pPr>
        <w:ind w:left="1440" w:hanging="1440"/>
      </w:pPr>
      <w:rPr>
        <w:rFonts w:hint="default"/>
      </w:rPr>
    </w:lvl>
    <w:lvl w:ilvl="8" w:tentative="0">
      <w:start w:val="1"/>
      <w:numFmt w:val="decimal"/>
      <w:pStyle w:val="13"/>
      <w:lvlText w:val="%1.%2.%3.%4.%5.%6.%7.%8.%9."/>
      <w:lvlJc w:val="left"/>
      <w:pPr>
        <w:ind w:left="1583" w:hanging="1583"/>
      </w:pPr>
      <w:rPr>
        <w:rFonts w:hint="default"/>
      </w:rPr>
    </w:lvl>
  </w:abstractNum>
  <w:abstractNum w:abstractNumId="5">
    <w:nsid w:val="76F15828"/>
    <w:multiLevelType w:val="multilevel"/>
    <w:tmpl w:val="76F15828"/>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9771398"/>
    <w:multiLevelType w:val="multilevel"/>
    <w:tmpl w:val="79771398"/>
    <w:lvl w:ilvl="0" w:tentative="0">
      <w:start w:val="1"/>
      <w:numFmt w:val="bullet"/>
      <w:lvlText w:val=""/>
      <w:lvlJc w:val="left"/>
      <w:pPr>
        <w:ind w:left="981" w:hanging="420"/>
      </w:pPr>
      <w:rPr>
        <w:rFonts w:hint="default" w:ascii="Wingdings" w:hAnsi="Wingdings"/>
      </w:rPr>
    </w:lvl>
    <w:lvl w:ilvl="1" w:tentative="0">
      <w:start w:val="1"/>
      <w:numFmt w:val="bullet"/>
      <w:lvlText w:val=""/>
      <w:lvlJc w:val="left"/>
      <w:pPr>
        <w:ind w:left="1401" w:hanging="420"/>
      </w:pPr>
      <w:rPr>
        <w:rFonts w:hint="default" w:ascii="Wingdings" w:hAnsi="Wingdings"/>
      </w:rPr>
    </w:lvl>
    <w:lvl w:ilvl="2" w:tentative="0">
      <w:start w:val="1"/>
      <w:numFmt w:val="bullet"/>
      <w:lvlText w:val=""/>
      <w:lvlJc w:val="left"/>
      <w:pPr>
        <w:ind w:left="1821" w:hanging="420"/>
      </w:pPr>
      <w:rPr>
        <w:rFonts w:hint="default" w:ascii="Wingdings" w:hAnsi="Wingdings"/>
      </w:rPr>
    </w:lvl>
    <w:lvl w:ilvl="3" w:tentative="0">
      <w:start w:val="1"/>
      <w:numFmt w:val="bullet"/>
      <w:lvlText w:val=""/>
      <w:lvlJc w:val="left"/>
      <w:pPr>
        <w:ind w:left="2241" w:hanging="420"/>
      </w:pPr>
      <w:rPr>
        <w:rFonts w:hint="default" w:ascii="Wingdings" w:hAnsi="Wingdings"/>
      </w:rPr>
    </w:lvl>
    <w:lvl w:ilvl="4" w:tentative="0">
      <w:start w:val="1"/>
      <w:numFmt w:val="bullet"/>
      <w:lvlText w:val=""/>
      <w:lvlJc w:val="left"/>
      <w:pPr>
        <w:ind w:left="2661" w:hanging="420"/>
      </w:pPr>
      <w:rPr>
        <w:rFonts w:hint="default" w:ascii="Wingdings" w:hAnsi="Wingdings"/>
      </w:rPr>
    </w:lvl>
    <w:lvl w:ilvl="5" w:tentative="0">
      <w:start w:val="1"/>
      <w:numFmt w:val="bullet"/>
      <w:lvlText w:val=""/>
      <w:lvlJc w:val="left"/>
      <w:pPr>
        <w:ind w:left="3081" w:hanging="420"/>
      </w:pPr>
      <w:rPr>
        <w:rFonts w:hint="default" w:ascii="Wingdings" w:hAnsi="Wingdings"/>
      </w:rPr>
    </w:lvl>
    <w:lvl w:ilvl="6" w:tentative="0">
      <w:start w:val="1"/>
      <w:numFmt w:val="bullet"/>
      <w:lvlText w:val=""/>
      <w:lvlJc w:val="left"/>
      <w:pPr>
        <w:ind w:left="3501" w:hanging="420"/>
      </w:pPr>
      <w:rPr>
        <w:rFonts w:hint="default" w:ascii="Wingdings" w:hAnsi="Wingdings"/>
      </w:rPr>
    </w:lvl>
    <w:lvl w:ilvl="7" w:tentative="0">
      <w:start w:val="1"/>
      <w:numFmt w:val="bullet"/>
      <w:lvlText w:val=""/>
      <w:lvlJc w:val="left"/>
      <w:pPr>
        <w:ind w:left="3921" w:hanging="420"/>
      </w:pPr>
      <w:rPr>
        <w:rFonts w:hint="default" w:ascii="Wingdings" w:hAnsi="Wingdings"/>
      </w:rPr>
    </w:lvl>
    <w:lvl w:ilvl="8" w:tentative="0">
      <w:start w:val="1"/>
      <w:numFmt w:val="bullet"/>
      <w:lvlText w:val=""/>
      <w:lvlJc w:val="left"/>
      <w:pPr>
        <w:ind w:left="4341" w:hanging="420"/>
      </w:pPr>
      <w:rPr>
        <w:rFonts w:hint="default" w:ascii="Wingdings" w:hAnsi="Wingdings"/>
      </w:rPr>
    </w:lvl>
  </w:abstractNum>
  <w:abstractNum w:abstractNumId="7">
    <w:nsid w:val="7B4B4049"/>
    <w:multiLevelType w:val="multilevel"/>
    <w:tmpl w:val="7B4B4049"/>
    <w:lvl w:ilvl="0" w:tentative="0">
      <w:start w:val="1"/>
      <w:numFmt w:val="bullet"/>
      <w:lvlText w:val=""/>
      <w:lvlJc w:val="left"/>
      <w:pPr>
        <w:ind w:left="981" w:hanging="420"/>
      </w:pPr>
      <w:rPr>
        <w:rFonts w:hint="default" w:ascii="Wingdings" w:hAnsi="Wingdings"/>
      </w:rPr>
    </w:lvl>
    <w:lvl w:ilvl="1" w:tentative="0">
      <w:start w:val="1"/>
      <w:numFmt w:val="bullet"/>
      <w:lvlText w:val=""/>
      <w:lvlJc w:val="left"/>
      <w:pPr>
        <w:ind w:left="1401" w:hanging="420"/>
      </w:pPr>
      <w:rPr>
        <w:rFonts w:hint="default" w:ascii="Wingdings" w:hAnsi="Wingdings"/>
      </w:rPr>
    </w:lvl>
    <w:lvl w:ilvl="2" w:tentative="0">
      <w:start w:val="1"/>
      <w:numFmt w:val="bullet"/>
      <w:lvlText w:val=""/>
      <w:lvlJc w:val="left"/>
      <w:pPr>
        <w:ind w:left="1821" w:hanging="420"/>
      </w:pPr>
      <w:rPr>
        <w:rFonts w:hint="default" w:ascii="Wingdings" w:hAnsi="Wingdings"/>
      </w:rPr>
    </w:lvl>
    <w:lvl w:ilvl="3" w:tentative="0">
      <w:start w:val="1"/>
      <w:numFmt w:val="bullet"/>
      <w:lvlText w:val=""/>
      <w:lvlJc w:val="left"/>
      <w:pPr>
        <w:ind w:left="2241" w:hanging="420"/>
      </w:pPr>
      <w:rPr>
        <w:rFonts w:hint="default" w:ascii="Wingdings" w:hAnsi="Wingdings"/>
      </w:rPr>
    </w:lvl>
    <w:lvl w:ilvl="4" w:tentative="0">
      <w:start w:val="1"/>
      <w:numFmt w:val="bullet"/>
      <w:lvlText w:val=""/>
      <w:lvlJc w:val="left"/>
      <w:pPr>
        <w:ind w:left="2661" w:hanging="420"/>
      </w:pPr>
      <w:rPr>
        <w:rFonts w:hint="default" w:ascii="Wingdings" w:hAnsi="Wingdings"/>
      </w:rPr>
    </w:lvl>
    <w:lvl w:ilvl="5" w:tentative="0">
      <w:start w:val="1"/>
      <w:numFmt w:val="bullet"/>
      <w:lvlText w:val=""/>
      <w:lvlJc w:val="left"/>
      <w:pPr>
        <w:ind w:left="3081" w:hanging="420"/>
      </w:pPr>
      <w:rPr>
        <w:rFonts w:hint="default" w:ascii="Wingdings" w:hAnsi="Wingdings"/>
      </w:rPr>
    </w:lvl>
    <w:lvl w:ilvl="6" w:tentative="0">
      <w:start w:val="1"/>
      <w:numFmt w:val="bullet"/>
      <w:lvlText w:val=""/>
      <w:lvlJc w:val="left"/>
      <w:pPr>
        <w:ind w:left="3501" w:hanging="420"/>
      </w:pPr>
      <w:rPr>
        <w:rFonts w:hint="default" w:ascii="Wingdings" w:hAnsi="Wingdings"/>
      </w:rPr>
    </w:lvl>
    <w:lvl w:ilvl="7" w:tentative="0">
      <w:start w:val="1"/>
      <w:numFmt w:val="bullet"/>
      <w:lvlText w:val=""/>
      <w:lvlJc w:val="left"/>
      <w:pPr>
        <w:ind w:left="3921" w:hanging="420"/>
      </w:pPr>
      <w:rPr>
        <w:rFonts w:hint="default" w:ascii="Wingdings" w:hAnsi="Wingdings"/>
      </w:rPr>
    </w:lvl>
    <w:lvl w:ilvl="8" w:tentative="0">
      <w:start w:val="1"/>
      <w:numFmt w:val="bullet"/>
      <w:lvlText w:val=""/>
      <w:lvlJc w:val="left"/>
      <w:pPr>
        <w:ind w:left="4341" w:hanging="420"/>
      </w:pPr>
      <w:rPr>
        <w:rFonts w:hint="default" w:ascii="Wingdings" w:hAnsi="Wingdings"/>
      </w:rPr>
    </w:lvl>
  </w:abstractNum>
  <w:num w:numId="1">
    <w:abstractNumId w:val="4"/>
  </w:num>
  <w:num w:numId="2">
    <w:abstractNumId w:val="2"/>
  </w:num>
  <w:num w:numId="3">
    <w:abstractNumId w:val="7"/>
  </w:num>
  <w:num w:numId="4">
    <w:abstractNumId w:val="3"/>
  </w:num>
  <w:num w:numId="5">
    <w:abstractNumId w:val="6"/>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numFmt w:val="decimalHalfWidth"/>
    <w:footnote w:id="0"/>
    <w:footnote w:id="1"/>
  </w:footnotePr>
  <w:endnotePr>
    <w:numFmt w:val="chineseCounting"/>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kNzRlODA4NDNjYTBhNjNmN2MxMWFjM2RiZTliZWEifQ=="/>
  </w:docVars>
  <w:rsids>
    <w:rsidRoot w:val="7B5F060D"/>
    <w:rsid w:val="02985606"/>
    <w:rsid w:val="02B75E3A"/>
    <w:rsid w:val="0EFD76DC"/>
    <w:rsid w:val="0FD44343"/>
    <w:rsid w:val="157B6B82"/>
    <w:rsid w:val="15E6067A"/>
    <w:rsid w:val="19432D27"/>
    <w:rsid w:val="1AD94882"/>
    <w:rsid w:val="1C177F96"/>
    <w:rsid w:val="20A73AA9"/>
    <w:rsid w:val="22C34341"/>
    <w:rsid w:val="30B00CDF"/>
    <w:rsid w:val="332F68EB"/>
    <w:rsid w:val="337F42B4"/>
    <w:rsid w:val="458235D1"/>
    <w:rsid w:val="483671E0"/>
    <w:rsid w:val="55CF743F"/>
    <w:rsid w:val="5880135B"/>
    <w:rsid w:val="5BDC53D2"/>
    <w:rsid w:val="5E9B3780"/>
    <w:rsid w:val="6E9F3531"/>
    <w:rsid w:val="720A0C12"/>
    <w:rsid w:val="7411627A"/>
    <w:rsid w:val="74C54771"/>
    <w:rsid w:val="79EE5858"/>
    <w:rsid w:val="7B5F060D"/>
    <w:rsid w:val="EFAA6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5" w:lineRule="atLeast"/>
      <w:ind w:left="1"/>
      <w:jc w:val="both"/>
      <w:textAlignment w:val="bottom"/>
    </w:pPr>
    <w:rPr>
      <w:rFonts w:ascii="Times New Roman" w:hAnsi="Times New Roman" w:eastAsia="宋体" w:cs="Times New Roman"/>
      <w:lang w:val="en-US" w:eastAsia="zh-CN" w:bidi="ar-SA"/>
    </w:rPr>
  </w:style>
  <w:style w:type="paragraph" w:styleId="4">
    <w:name w:val="heading 1"/>
    <w:basedOn w:val="1"/>
    <w:next w:val="1"/>
    <w:qFormat/>
    <w:uiPriority w:val="0"/>
    <w:pPr>
      <w:keepNext w:val="0"/>
      <w:keepLines w:val="0"/>
      <w:pageBreakBefore/>
      <w:numPr>
        <w:ilvl w:val="0"/>
        <w:numId w:val="1"/>
      </w:numPr>
      <w:adjustRightInd w:val="0"/>
      <w:snapToGrid w:val="0"/>
      <w:spacing w:before="50" w:beforeLines="50" w:beforeAutospacing="0" w:after="50" w:afterLines="50" w:afterAutospacing="0" w:line="360" w:lineRule="auto"/>
      <w:ind w:left="432" w:hanging="432"/>
      <w:outlineLvl w:val="0"/>
    </w:pPr>
    <w:rPr>
      <w:rFonts w:ascii="Times New Roman" w:hAnsi="Times New Roman" w:eastAsia="仿宋"/>
      <w:b/>
      <w:kern w:val="44"/>
      <w:sz w:val="36"/>
    </w:rPr>
  </w:style>
  <w:style w:type="paragraph" w:styleId="5">
    <w:name w:val="heading 2"/>
    <w:basedOn w:val="1"/>
    <w:next w:val="1"/>
    <w:unhideWhenUsed/>
    <w:qFormat/>
    <w:uiPriority w:val="0"/>
    <w:pPr>
      <w:keepNext w:val="0"/>
      <w:keepLines w:val="0"/>
      <w:numPr>
        <w:ilvl w:val="1"/>
        <w:numId w:val="1"/>
      </w:numPr>
      <w:adjustRightInd w:val="0"/>
      <w:snapToGrid w:val="0"/>
      <w:spacing w:before="50" w:beforeLines="50" w:beforeAutospacing="0" w:after="50" w:afterLines="50" w:afterAutospacing="0" w:line="360" w:lineRule="auto"/>
      <w:ind w:left="575" w:hanging="575"/>
      <w:outlineLvl w:val="1"/>
    </w:pPr>
    <w:rPr>
      <w:rFonts w:ascii="Times New Roman" w:hAnsi="Times New Roman" w:eastAsia="仿宋"/>
      <w:b/>
      <w:sz w:val="32"/>
    </w:rPr>
  </w:style>
  <w:style w:type="paragraph" w:styleId="6">
    <w:name w:val="heading 3"/>
    <w:basedOn w:val="1"/>
    <w:next w:val="7"/>
    <w:unhideWhenUsed/>
    <w:qFormat/>
    <w:uiPriority w:val="0"/>
    <w:pPr>
      <w:keepNext w:val="0"/>
      <w:keepLines w:val="0"/>
      <w:numPr>
        <w:ilvl w:val="2"/>
        <w:numId w:val="1"/>
      </w:numPr>
      <w:adjustRightInd w:val="0"/>
      <w:snapToGrid w:val="0"/>
      <w:spacing w:before="50" w:beforeLines="50" w:beforeAutospacing="0" w:after="50" w:afterLines="50" w:afterAutospacing="0" w:line="360" w:lineRule="auto"/>
      <w:ind w:left="720" w:hanging="720"/>
      <w:outlineLvl w:val="2"/>
    </w:pPr>
    <w:rPr>
      <w:rFonts w:ascii="Times New Roman" w:hAnsi="Times New Roman" w:eastAsia="仿宋"/>
      <w:b/>
      <w:sz w:val="30"/>
    </w:rPr>
  </w:style>
  <w:style w:type="paragraph" w:styleId="8">
    <w:name w:val="heading 4"/>
    <w:basedOn w:val="1"/>
    <w:next w:val="7"/>
    <w:semiHidden/>
    <w:unhideWhenUsed/>
    <w:qFormat/>
    <w:uiPriority w:val="0"/>
    <w:pPr>
      <w:keepNext w:val="0"/>
      <w:keepLines w:val="0"/>
      <w:numPr>
        <w:ilvl w:val="3"/>
        <w:numId w:val="1"/>
      </w:numPr>
      <w:adjustRightInd w:val="0"/>
      <w:snapToGrid w:val="0"/>
      <w:spacing w:before="50" w:beforeLines="50" w:beforeAutospacing="0" w:after="50" w:afterLines="50" w:afterAutospacing="0" w:line="360" w:lineRule="auto"/>
      <w:ind w:left="864" w:hanging="864"/>
      <w:outlineLvl w:val="3"/>
    </w:pPr>
    <w:rPr>
      <w:rFonts w:ascii="Times New Roman" w:hAnsi="Times New Roman" w:eastAsia="楷体"/>
      <w:b/>
      <w:sz w:val="28"/>
    </w:rPr>
  </w:style>
  <w:style w:type="paragraph" w:styleId="9">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10">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1">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2">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3">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customStyle="1" w:styleId="3">
    <w:name w:val="文本"/>
    <w:qFormat/>
    <w:uiPriority w:val="0"/>
    <w:pPr>
      <w:widowControl w:val="0"/>
      <w:adjustRightInd w:val="0"/>
      <w:snapToGrid w:val="0"/>
      <w:spacing w:line="360" w:lineRule="auto"/>
      <w:ind w:firstLine="200" w:firstLineChars="200"/>
      <w:jc w:val="both"/>
    </w:pPr>
    <w:rPr>
      <w:rFonts w:ascii="Times New Roman" w:hAnsi="Times New Roman" w:eastAsia="宋体" w:cstheme="minorBidi"/>
      <w:kern w:val="2"/>
      <w:sz w:val="24"/>
      <w:szCs w:val="28"/>
      <w:lang w:val="en-US" w:eastAsia="zh-CN" w:bidi="ar-SA"/>
    </w:rPr>
  </w:style>
  <w:style w:type="paragraph" w:customStyle="1" w:styleId="7">
    <w:name w:val="1.正文"/>
    <w:basedOn w:val="1"/>
    <w:link w:val="33"/>
    <w:qFormat/>
    <w:uiPriority w:val="0"/>
    <w:pPr>
      <w:adjustRightInd w:val="0"/>
      <w:snapToGrid w:val="0"/>
      <w:spacing w:line="360" w:lineRule="auto"/>
      <w:ind w:left="0" w:firstLine="420" w:firstLineChars="200"/>
    </w:pPr>
    <w:rPr>
      <w:rFonts w:eastAsia="仿宋"/>
      <w:sz w:val="28"/>
    </w:rPr>
  </w:style>
  <w:style w:type="paragraph" w:styleId="14">
    <w:name w:val="annotation text"/>
    <w:basedOn w:val="1"/>
    <w:qFormat/>
    <w:uiPriority w:val="0"/>
    <w:pPr>
      <w:jc w:val="left"/>
    </w:pPr>
  </w:style>
  <w:style w:type="paragraph" w:styleId="15">
    <w:name w:val="toc 3"/>
    <w:basedOn w:val="1"/>
    <w:next w:val="1"/>
    <w:unhideWhenUsed/>
    <w:qFormat/>
    <w:uiPriority w:val="39"/>
    <w:pPr>
      <w:spacing w:line="240" w:lineRule="auto"/>
      <w:ind w:left="420"/>
      <w:jc w:val="left"/>
      <w:textAlignment w:val="auto"/>
    </w:pPr>
    <w:rPr>
      <w:rFonts w:ascii="Calibri" w:hAnsi="Calibri" w:cs="Calibri"/>
      <w:i/>
      <w:iCs/>
      <w:kern w:val="2"/>
    </w:rPr>
  </w:style>
  <w:style w:type="paragraph" w:styleId="16">
    <w:name w:val="footer"/>
    <w:basedOn w:val="1"/>
    <w:qFormat/>
    <w:uiPriority w:val="99"/>
    <w:pPr>
      <w:tabs>
        <w:tab w:val="center" w:pos="4153"/>
        <w:tab w:val="right" w:pos="8306"/>
      </w:tabs>
      <w:snapToGrid w:val="0"/>
      <w:spacing w:line="240" w:lineRule="atLeast"/>
      <w:jc w:val="left"/>
    </w:pPr>
    <w:rPr>
      <w:sz w:val="18"/>
      <w:szCs w:val="18"/>
    </w:rPr>
  </w:style>
  <w:style w:type="paragraph" w:styleId="17">
    <w:name w:val="header"/>
    <w:basedOn w:val="1"/>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8">
    <w:name w:val="toc 1"/>
    <w:basedOn w:val="1"/>
    <w:next w:val="1"/>
    <w:qFormat/>
    <w:uiPriority w:val="39"/>
    <w:pPr>
      <w:ind w:left="0"/>
    </w:pPr>
  </w:style>
  <w:style w:type="paragraph" w:styleId="19">
    <w:name w:val="toc 2"/>
    <w:basedOn w:val="1"/>
    <w:next w:val="1"/>
    <w:qFormat/>
    <w:uiPriority w:val="39"/>
    <w:pPr>
      <w:ind w:left="420" w:leftChars="200"/>
    </w:pPr>
  </w:style>
  <w:style w:type="paragraph" w:styleId="2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23">
    <w:name w:val="Strong"/>
    <w:basedOn w:val="22"/>
    <w:qFormat/>
    <w:uiPriority w:val="0"/>
    <w:rPr>
      <w:b/>
    </w:rPr>
  </w:style>
  <w:style w:type="character" w:styleId="24">
    <w:name w:val="page number"/>
    <w:qFormat/>
    <w:uiPriority w:val="0"/>
  </w:style>
  <w:style w:type="paragraph" w:customStyle="1" w:styleId="25">
    <w:name w:val="表格"/>
    <w:basedOn w:val="1"/>
    <w:next w:val="1"/>
    <w:qFormat/>
    <w:uiPriority w:val="0"/>
    <w:pPr>
      <w:adjustRightInd w:val="0"/>
      <w:snapToGrid w:val="0"/>
      <w:spacing w:line="240" w:lineRule="auto"/>
      <w:ind w:firstLine="0" w:firstLineChars="0"/>
      <w:jc w:val="center"/>
    </w:pPr>
    <w:rPr>
      <w:rFonts w:ascii="Times New Roman" w:hAnsi="Times New Roman"/>
      <w:kern w:val="0"/>
      <w:sz w:val="21"/>
      <w:szCs w:val="21"/>
    </w:rPr>
  </w:style>
  <w:style w:type="paragraph" w:customStyle="1" w:styleId="26">
    <w:name w:val="1.长表文"/>
    <w:basedOn w:val="1"/>
    <w:qFormat/>
    <w:uiPriority w:val="0"/>
    <w:pPr>
      <w:adjustRightInd w:val="0"/>
      <w:snapToGrid w:val="0"/>
      <w:ind w:firstLine="420" w:firstLineChars="200"/>
    </w:pPr>
    <w:rPr>
      <w:rFonts w:ascii="Times New Roman" w:hAnsi="Times New Roman" w:eastAsia="仿宋"/>
      <w:sz w:val="24"/>
    </w:rPr>
  </w:style>
  <w:style w:type="paragraph" w:customStyle="1" w:styleId="27">
    <w:name w:val="1.表头"/>
    <w:basedOn w:val="1"/>
    <w:qFormat/>
    <w:uiPriority w:val="0"/>
    <w:pPr>
      <w:adjustRightInd w:val="0"/>
      <w:snapToGrid w:val="0"/>
      <w:spacing w:before="50" w:beforeLines="50" w:line="360" w:lineRule="auto"/>
      <w:jc w:val="center"/>
    </w:pPr>
    <w:rPr>
      <w:rFonts w:ascii="Times New Roman" w:hAnsi="Times New Roman" w:eastAsia="仿宋"/>
      <w:b/>
      <w:sz w:val="24"/>
    </w:rPr>
  </w:style>
  <w:style w:type="paragraph" w:customStyle="1" w:styleId="28">
    <w:name w:val="1.图头"/>
    <w:basedOn w:val="1"/>
    <w:qFormat/>
    <w:uiPriority w:val="0"/>
    <w:pPr>
      <w:adjustRightInd w:val="0"/>
      <w:snapToGrid w:val="0"/>
      <w:spacing w:after="50" w:afterLines="50" w:line="360" w:lineRule="auto"/>
      <w:jc w:val="center"/>
    </w:pPr>
    <w:rPr>
      <w:rFonts w:ascii="Times New Roman" w:hAnsi="Times New Roman" w:eastAsia="仿宋"/>
      <w:b/>
      <w:sz w:val="24"/>
    </w:rPr>
  </w:style>
  <w:style w:type="paragraph" w:customStyle="1" w:styleId="29">
    <w:name w:val="1.表文"/>
    <w:basedOn w:val="1"/>
    <w:qFormat/>
    <w:uiPriority w:val="0"/>
    <w:pPr>
      <w:adjustRightInd w:val="0"/>
      <w:snapToGrid w:val="0"/>
      <w:spacing w:line="240" w:lineRule="auto"/>
      <w:jc w:val="center"/>
    </w:pPr>
    <w:rPr>
      <w:rFonts w:ascii="Times New Roman" w:hAnsi="Times New Roman" w:eastAsia="仿宋"/>
      <w:sz w:val="24"/>
    </w:rPr>
  </w:style>
  <w:style w:type="paragraph" w:styleId="30">
    <w:name w:val="List Paragraph"/>
    <w:basedOn w:val="1"/>
    <w:qFormat/>
    <w:uiPriority w:val="34"/>
    <w:pPr>
      <w:spacing w:before="240" w:after="60" w:line="240" w:lineRule="auto"/>
      <w:ind w:left="0" w:firstLine="420" w:firstLineChars="200"/>
      <w:textAlignment w:val="auto"/>
    </w:pPr>
    <w:rPr>
      <w:rFonts w:ascii="Calibri" w:hAnsi="Calibri"/>
      <w:kern w:val="2"/>
      <w:sz w:val="21"/>
      <w:szCs w:val="21"/>
    </w:rPr>
  </w:style>
  <w:style w:type="paragraph" w:customStyle="1" w:styleId="31">
    <w:name w:val="WPS Plain"/>
    <w:qFormat/>
    <w:uiPriority w:val="0"/>
    <w:rPr>
      <w:rFonts w:ascii="Times New Roman" w:hAnsi="Times New Roman" w:eastAsia="宋体" w:cs="Times New Roman"/>
      <w:lang w:val="en-US" w:eastAsia="zh-CN" w:bidi="ar-SA"/>
    </w:rPr>
  </w:style>
  <w:style w:type="paragraph" w:customStyle="1" w:styleId="32">
    <w:name w:val="A-本文表格"/>
    <w:basedOn w:val="1"/>
    <w:qFormat/>
    <w:uiPriority w:val="0"/>
    <w:pPr>
      <w:spacing w:line="240" w:lineRule="auto"/>
      <w:ind w:firstLine="0" w:firstLineChars="0"/>
      <w:jc w:val="center"/>
    </w:pPr>
    <w:rPr>
      <w:kern w:val="0"/>
      <w:sz w:val="24"/>
      <w:szCs w:val="21"/>
    </w:rPr>
  </w:style>
  <w:style w:type="character" w:customStyle="1" w:styleId="33">
    <w:name w:val="1.正文 Char"/>
    <w:link w:val="7"/>
    <w:qFormat/>
    <w:uiPriority w:val="0"/>
    <w:rPr>
      <w:rFonts w:eastAsia="仿宋"/>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9.png"/><Relationship Id="rId24" Type="http://schemas.openxmlformats.org/officeDocument/2006/relationships/image" Target="media/image8.emf"/><Relationship Id="rId23" Type="http://schemas.openxmlformats.org/officeDocument/2006/relationships/oleObject" Target="embeddings/oleObject1.bin"/><Relationship Id="rId22" Type="http://schemas.openxmlformats.org/officeDocument/2006/relationships/image" Target="media/image7.png"/><Relationship Id="rId21" Type="http://schemas.openxmlformats.org/officeDocument/2006/relationships/image" Target="media/image6.jpeg"/><Relationship Id="rId20" Type="http://schemas.openxmlformats.org/officeDocument/2006/relationships/image" Target="media/image5.jpe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png"/><Relationship Id="rId17" Type="http://schemas.openxmlformats.org/officeDocument/2006/relationships/image" Target="media/image2.jpe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146</Pages>
  <Words>20636</Words>
  <Characters>21822</Characters>
  <Lines>0</Lines>
  <Paragraphs>0</Paragraphs>
  <TotalTime>121</TotalTime>
  <ScaleCrop>false</ScaleCrop>
  <LinksUpToDate>false</LinksUpToDate>
  <CharactersWithSpaces>22101</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2024-06-12T16:01:00Z</dcterms:created>
  <dc:creator>郗静慧</dc:creator>
  <cp:lastModifiedBy>huawei</cp:lastModifiedBy>
  <dcterms:modified xsi:type="dcterms:W3CDTF">2026-03-23T11:37:45Z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A9BE0536828541FB820EBBD144557B8A_13</vt:lpwstr>
  </property>
  <property fmtid="{D5CDD505-2E9C-101B-9397-08002B2CF9AE}" pid="4" name="KSOTemplateDocerSaveRecord">
    <vt:lpwstr>eyJoZGlkIjoiNTZiYTYxMzYzYmQ4OTBjNTE5MDE2ZWRiNzhjNTliMzEiLCJ1c2VySWQiOiI0OTg3NjgwMjYifQ==</vt:lpwstr>
  </property>
</Properties>
</file>