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74953E">
      <w:pPr>
        <w:bidi w:val="0"/>
        <w:jc w:val="center"/>
        <w:rPr>
          <w:rFonts w:hint="eastAsia" w:ascii="方正小标宋简体" w:hAnsi="方正小标宋简体" w:eastAsia="方正小标宋简体" w:cs="方正小标宋简体"/>
          <w:b w:val="0"/>
          <w:bCs w:val="0"/>
          <w:sz w:val="44"/>
          <w:szCs w:val="44"/>
          <w:lang w:val="en-US" w:eastAsia="zh-CN"/>
        </w:rPr>
      </w:pPr>
      <w:r>
        <w:rPr>
          <w:rFonts w:hint="eastAsia" w:ascii="Times New Roman" w:hAnsi="Times New Roman" w:eastAsia="方正小标宋简体" w:cs="方正小标宋简体"/>
          <w:b w:val="0"/>
          <w:bCs w:val="0"/>
          <w:sz w:val="44"/>
          <w:szCs w:val="44"/>
          <w:lang w:val="en-US" w:eastAsia="zh-CN"/>
        </w:rPr>
        <w:t>2026</w:t>
      </w:r>
      <w:r>
        <w:rPr>
          <w:rFonts w:hint="eastAsia" w:ascii="方正小标宋简体" w:hAnsi="方正小标宋简体" w:eastAsia="方正小标宋简体" w:cs="方正小标宋简体"/>
          <w:b w:val="0"/>
          <w:bCs w:val="0"/>
          <w:sz w:val="44"/>
          <w:szCs w:val="44"/>
          <w:lang w:val="en-US" w:eastAsia="zh-CN"/>
        </w:rPr>
        <w:t>年中央常态化帮扶资金第二批</w:t>
      </w:r>
    </w:p>
    <w:p w14:paraId="7497F337">
      <w:pPr>
        <w:bidi w:val="0"/>
        <w:jc w:val="center"/>
        <w:rPr>
          <w:rFonts w:hint="default" w:ascii="黑体" w:hAnsi="黑体" w:eastAsia="黑体" w:cs="黑体"/>
          <w:b w:val="0"/>
          <w:bCs w:val="0"/>
          <w:sz w:val="36"/>
          <w:szCs w:val="36"/>
          <w:lang w:val="en-US" w:eastAsia="zh-CN"/>
        </w:rPr>
      </w:pPr>
      <w:r>
        <w:rPr>
          <w:rFonts w:hint="eastAsia" w:ascii="方正小标宋简体" w:hAnsi="方正小标宋简体" w:eastAsia="方正小标宋简体" w:cs="方正小标宋简体"/>
          <w:b w:val="0"/>
          <w:bCs w:val="0"/>
          <w:sz w:val="44"/>
          <w:szCs w:val="44"/>
          <w:lang w:val="en-US" w:eastAsia="zh-CN"/>
        </w:rPr>
        <w:t>（少数民族发展任务）分配项目公示</w:t>
      </w:r>
    </w:p>
    <w:p w14:paraId="6D0D406D">
      <w:pPr>
        <w:bidi w:val="0"/>
        <w:ind w:firstLine="640" w:firstLineChars="200"/>
        <w:rPr>
          <w:rFonts w:hint="eastAsia" w:ascii="仿宋" w:hAnsi="仿宋" w:eastAsia="仿宋" w:cs="仿宋"/>
          <w:sz w:val="32"/>
          <w:szCs w:val="32"/>
          <w:lang w:val="en-US" w:eastAsia="zh-CN"/>
        </w:rPr>
      </w:pPr>
    </w:p>
    <w:p w14:paraId="34996EDD">
      <w:pPr>
        <w:bidi w:val="0"/>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呼伦贝尔市财政局下达我市2026年中央常态化帮扶资金第二批（少数民族发展任务）168万元。</w:t>
      </w:r>
      <w:r>
        <w:rPr>
          <w:rFonts w:hint="eastAsia" w:ascii="仿宋" w:hAnsi="仿宋" w:eastAsia="仿宋" w:cs="仿宋"/>
          <w:sz w:val="32"/>
          <w:szCs w:val="32"/>
        </w:rPr>
        <w:t>按照</w:t>
      </w:r>
      <w:r>
        <w:rPr>
          <w:rFonts w:hint="eastAsia" w:ascii="仿宋" w:hAnsi="仿宋" w:eastAsia="仿宋" w:cs="仿宋"/>
          <w:sz w:val="32"/>
          <w:szCs w:val="32"/>
          <w:lang w:val="en-US" w:eastAsia="zh-CN"/>
        </w:rPr>
        <w:t>文件要求和有关规定</w:t>
      </w:r>
      <w:r>
        <w:rPr>
          <w:rFonts w:hint="eastAsia" w:ascii="仿宋" w:hAnsi="仿宋" w:eastAsia="仿宋" w:cs="仿宋"/>
          <w:sz w:val="32"/>
          <w:szCs w:val="32"/>
        </w:rPr>
        <w:t>，</w:t>
      </w:r>
      <w:r>
        <w:rPr>
          <w:rFonts w:hint="eastAsia" w:ascii="仿宋" w:hAnsi="仿宋" w:eastAsia="仿宋" w:cs="仿宋"/>
          <w:sz w:val="32"/>
          <w:szCs w:val="32"/>
          <w:lang w:val="en-US" w:eastAsia="zh-CN"/>
        </w:rPr>
        <w:t>经</w:t>
      </w:r>
      <w:r>
        <w:rPr>
          <w:rFonts w:hint="eastAsia" w:ascii="仿宋" w:hAnsi="仿宋" w:eastAsia="仿宋" w:cs="仿宋"/>
          <w:sz w:val="32"/>
          <w:szCs w:val="32"/>
        </w:rPr>
        <w:t>市政府</w:t>
      </w:r>
      <w:r>
        <w:rPr>
          <w:rFonts w:hint="eastAsia" w:ascii="仿宋" w:hAnsi="仿宋" w:eastAsia="仿宋" w:cs="仿宋"/>
          <w:sz w:val="32"/>
          <w:szCs w:val="32"/>
          <w:lang w:val="en-US" w:eastAsia="zh-CN"/>
        </w:rPr>
        <w:t>研究</w:t>
      </w:r>
      <w:r>
        <w:rPr>
          <w:rFonts w:hint="eastAsia" w:ascii="仿宋" w:hAnsi="仿宋" w:eastAsia="仿宋" w:cs="仿宋"/>
          <w:sz w:val="32"/>
          <w:szCs w:val="32"/>
        </w:rPr>
        <w:t>，确定资金分配意见（见附表）</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现予以公示</w:t>
      </w:r>
      <w:r>
        <w:rPr>
          <w:rFonts w:hint="eastAsia" w:ascii="仿宋" w:hAnsi="仿宋" w:eastAsia="仿宋" w:cs="仿宋"/>
          <w:sz w:val="32"/>
          <w:szCs w:val="32"/>
        </w:rPr>
        <w:t>。</w:t>
      </w:r>
    </w:p>
    <w:p w14:paraId="2F84FD7E">
      <w:pPr>
        <w:bidi w:val="0"/>
        <w:ind w:firstLine="640" w:firstLineChars="200"/>
        <w:rPr>
          <w:rFonts w:hint="eastAsia" w:ascii="仿宋" w:hAnsi="仿宋" w:eastAsia="仿宋" w:cs="仿宋"/>
          <w:sz w:val="32"/>
          <w:szCs w:val="32"/>
        </w:rPr>
      </w:pPr>
      <w:r>
        <w:rPr>
          <w:rFonts w:hint="eastAsia" w:ascii="仿宋" w:hAnsi="仿宋" w:eastAsia="仿宋" w:cs="仿宋"/>
          <w:sz w:val="32"/>
          <w:szCs w:val="32"/>
        </w:rPr>
        <w:t>联系电话：0470-6822294   </w:t>
      </w:r>
    </w:p>
    <w:p w14:paraId="4B79DF8E">
      <w:pPr>
        <w:bidi w:val="0"/>
        <w:ind w:firstLine="640" w:firstLineChars="200"/>
        <w:rPr>
          <w:rFonts w:hint="eastAsia" w:ascii="仿宋" w:hAnsi="仿宋" w:eastAsia="仿宋" w:cs="仿宋"/>
          <w:sz w:val="32"/>
          <w:szCs w:val="32"/>
        </w:rPr>
      </w:pPr>
      <w:r>
        <w:rPr>
          <w:rFonts w:hint="eastAsia" w:ascii="仿宋" w:hAnsi="仿宋" w:eastAsia="仿宋" w:cs="仿宋"/>
          <w:sz w:val="32"/>
          <w:szCs w:val="32"/>
        </w:rPr>
        <w:t>通讯地址：额尔古纳市党政大楼6楼</w:t>
      </w:r>
    </w:p>
    <w:p w14:paraId="11B0C358">
      <w:pPr>
        <w:bidi w:val="0"/>
        <w:ind w:firstLine="2240" w:firstLineChars="700"/>
        <w:rPr>
          <w:rFonts w:hint="eastAsia" w:ascii="仿宋" w:hAnsi="仿宋" w:eastAsia="仿宋" w:cs="仿宋"/>
          <w:sz w:val="32"/>
          <w:szCs w:val="32"/>
        </w:rPr>
      </w:pPr>
      <w:r>
        <w:rPr>
          <w:rFonts w:hint="eastAsia" w:ascii="仿宋" w:hAnsi="仿宋" w:eastAsia="仿宋" w:cs="仿宋"/>
          <w:sz w:val="32"/>
          <w:szCs w:val="32"/>
        </w:rPr>
        <w:t>额尔古纳市民委</w:t>
      </w:r>
      <w:r>
        <w:rPr>
          <w:rFonts w:hint="eastAsia" w:ascii="仿宋" w:hAnsi="仿宋" w:eastAsia="仿宋" w:cs="仿宋"/>
          <w:sz w:val="32"/>
          <w:szCs w:val="32"/>
          <w:lang w:val="en-US" w:eastAsia="zh-CN"/>
        </w:rPr>
        <w:t>经济发展</w:t>
      </w:r>
      <w:r>
        <w:rPr>
          <w:rFonts w:hint="eastAsia" w:ascii="仿宋" w:hAnsi="仿宋" w:eastAsia="仿宋" w:cs="仿宋"/>
          <w:sz w:val="32"/>
          <w:szCs w:val="32"/>
        </w:rPr>
        <w:t>股</w:t>
      </w:r>
    </w:p>
    <w:p w14:paraId="5F331C66">
      <w:pPr>
        <w:bidi w:val="0"/>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监督举报：12317</w:t>
      </w:r>
    </w:p>
    <w:p w14:paraId="05F47182">
      <w:pPr>
        <w:bidi w:val="0"/>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公示日期：2026年6月10日-2026年6月20日</w:t>
      </w:r>
    </w:p>
    <w:p w14:paraId="7E0C77BC">
      <w:pPr>
        <w:bidi w:val="0"/>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邮   箱 ：esmzzj@163.com</w:t>
      </w:r>
      <w:r>
        <w:rPr>
          <w:rFonts w:hint="eastAsia" w:ascii="仿宋" w:hAnsi="仿宋" w:eastAsia="仿宋" w:cs="仿宋"/>
          <w:sz w:val="32"/>
          <w:szCs w:val="32"/>
        </w:rPr>
        <w:t>         </w:t>
      </w:r>
    </w:p>
    <w:p w14:paraId="4039B413">
      <w:pPr>
        <w:bidi w:val="0"/>
        <w:ind w:firstLine="640" w:firstLineChars="200"/>
        <w:rPr>
          <w:rFonts w:hint="eastAsia" w:ascii="仿宋" w:hAnsi="仿宋" w:eastAsia="仿宋" w:cs="仿宋"/>
          <w:sz w:val="32"/>
          <w:szCs w:val="32"/>
        </w:rPr>
      </w:pPr>
    </w:p>
    <w:p w14:paraId="74D48068">
      <w:pPr>
        <w:bidi w:val="0"/>
        <w:ind w:firstLine="640" w:firstLineChars="200"/>
        <w:rPr>
          <w:rFonts w:hint="eastAsia" w:ascii="仿宋" w:hAnsi="仿宋" w:eastAsia="仿宋" w:cs="仿宋"/>
          <w:sz w:val="32"/>
          <w:szCs w:val="32"/>
        </w:rPr>
      </w:pPr>
      <w:r>
        <w:rPr>
          <w:rFonts w:hint="eastAsia" w:ascii="仿宋" w:hAnsi="仿宋" w:eastAsia="仿宋" w:cs="仿宋"/>
          <w:sz w:val="32"/>
          <w:szCs w:val="32"/>
        </w:rPr>
        <w:t>                </w:t>
      </w:r>
    </w:p>
    <w:p w14:paraId="3C71AABF">
      <w:pPr>
        <w:bidi w:val="0"/>
        <w:ind w:firstLine="4160" w:firstLineChars="13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额尔</w:t>
      </w:r>
      <w:r>
        <w:rPr>
          <w:rFonts w:hint="eastAsia" w:ascii="仿宋" w:hAnsi="仿宋" w:eastAsia="仿宋" w:cs="仿宋"/>
          <w:sz w:val="32"/>
          <w:szCs w:val="32"/>
        </w:rPr>
        <w:t>古纳市</w:t>
      </w:r>
      <w:r>
        <w:rPr>
          <w:rFonts w:hint="eastAsia" w:ascii="仿宋" w:hAnsi="仿宋" w:eastAsia="仿宋" w:cs="仿宋"/>
          <w:sz w:val="32"/>
          <w:szCs w:val="32"/>
          <w:lang w:val="en-US" w:eastAsia="zh-CN"/>
        </w:rPr>
        <w:t xml:space="preserve">民族事务委员会 </w:t>
      </w:r>
    </w:p>
    <w:p w14:paraId="63FCE3D7">
      <w:pPr>
        <w:bidi w:val="0"/>
        <w:ind w:firstLine="5120" w:firstLineChars="16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2026年6月10日</w:t>
      </w:r>
    </w:p>
    <w:p w14:paraId="35F782A9">
      <w:pPr>
        <w:bidi w:val="0"/>
        <w:ind w:firstLine="5120" w:firstLineChars="1600"/>
        <w:rPr>
          <w:rFonts w:hint="eastAsia" w:ascii="仿宋" w:hAnsi="仿宋" w:eastAsia="仿宋" w:cs="仿宋"/>
          <w:sz w:val="32"/>
          <w:szCs w:val="32"/>
          <w:lang w:val="en-US" w:eastAsia="zh-CN"/>
        </w:rPr>
      </w:pPr>
    </w:p>
    <w:p w14:paraId="6D99BD6F">
      <w:pPr>
        <w:bidi w:val="0"/>
        <w:ind w:firstLine="5120" w:firstLineChars="1600"/>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14:paraId="718DFB6B">
      <w:pPr>
        <w:bidi w:val="0"/>
        <w:jc w:val="both"/>
        <w:rPr>
          <w:rFonts w:hint="default" w:ascii="仿宋_GB2312" w:hAnsi="仿宋_GB2312" w:eastAsia="仿宋_GB2312" w:cs="仿宋_GB2312"/>
          <w:sz w:val="32"/>
          <w:szCs w:val="32"/>
          <w:shd w:val="clear" w:color="auto" w:fill="FFFFFF"/>
          <w:lang w:val="en-US" w:eastAsia="zh-CN"/>
        </w:rPr>
      </w:pPr>
      <w:r>
        <w:rPr>
          <w:rFonts w:hint="eastAsia" w:ascii="方正小标宋简体" w:hAnsi="方正小标宋简体" w:eastAsia="方正小标宋简体" w:cs="方正小标宋简体"/>
          <w:sz w:val="44"/>
          <w:szCs w:val="44"/>
          <w:lang w:val="en-US" w:eastAsia="zh-CN"/>
        </w:rPr>
        <w:t>2026年中央</w:t>
      </w:r>
      <w:r>
        <w:rPr>
          <w:rFonts w:hint="eastAsia" w:ascii="方正小标宋简体" w:hAnsi="方正小标宋简体" w:eastAsia="方正小标宋简体" w:cs="方正小标宋简体"/>
          <w:b w:val="0"/>
          <w:bCs w:val="0"/>
          <w:sz w:val="44"/>
          <w:szCs w:val="44"/>
          <w:lang w:val="en-US" w:eastAsia="zh-CN"/>
        </w:rPr>
        <w:t>常态化帮扶资金第二批（少数民族发展任务）</w:t>
      </w:r>
      <w:r>
        <w:rPr>
          <w:rFonts w:hint="eastAsia" w:ascii="方正小标宋简体" w:hAnsi="方正小标宋简体" w:eastAsia="方正小标宋简体" w:cs="方正小标宋简体"/>
          <w:sz w:val="44"/>
          <w:szCs w:val="44"/>
          <w:lang w:val="en-US" w:eastAsia="zh-CN"/>
        </w:rPr>
        <w:t>分配项目表</w:t>
      </w:r>
    </w:p>
    <w:tbl>
      <w:tblPr>
        <w:tblStyle w:val="2"/>
        <w:tblpPr w:leftFromText="180" w:rightFromText="180" w:vertAnchor="page" w:horzAnchor="page" w:tblpX="1626" w:tblpY="3145"/>
        <w:tblOverlap w:val="never"/>
        <w:tblW w:w="14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780"/>
        <w:gridCol w:w="960"/>
        <w:gridCol w:w="855"/>
        <w:gridCol w:w="855"/>
        <w:gridCol w:w="975"/>
        <w:gridCol w:w="1350"/>
        <w:gridCol w:w="5231"/>
        <w:gridCol w:w="3222"/>
      </w:tblGrid>
      <w:tr w14:paraId="5A24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587" w:type="dxa"/>
            <w:vAlign w:val="center"/>
          </w:tcPr>
          <w:p w14:paraId="290089E7">
            <w:pPr>
              <w:keepNext w:val="0"/>
              <w:keepLines w:val="0"/>
              <w:pageBreakBefore w:val="0"/>
              <w:widowControl w:val="0"/>
              <w:shd w:val="clear" w:color="FFFFFF" w:fill="auto"/>
              <w:kinsoku/>
              <w:wordWrap/>
              <w:overflowPunct/>
              <w:topLinePunct w:val="0"/>
              <w:autoSpaceDE/>
              <w:autoSpaceDN w:val="0"/>
              <w:bidi w:val="0"/>
              <w:adjustRightInd/>
              <w:snapToGrid w:val="0"/>
              <w:spacing w:line="560" w:lineRule="exact"/>
              <w:ind w:right="0" w:rightChars="0"/>
              <w:jc w:val="center"/>
              <w:textAlignment w:val="auto"/>
              <w:outlineLvl w:val="9"/>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序号</w:t>
            </w:r>
          </w:p>
        </w:tc>
        <w:tc>
          <w:tcPr>
            <w:tcW w:w="780" w:type="dxa"/>
            <w:vAlign w:val="center"/>
          </w:tcPr>
          <w:p w14:paraId="66A0EECA">
            <w:pPr>
              <w:jc w:val="center"/>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 xml:space="preserve">项目名称 </w:t>
            </w:r>
          </w:p>
        </w:tc>
        <w:tc>
          <w:tcPr>
            <w:tcW w:w="960" w:type="dxa"/>
            <w:vAlign w:val="center"/>
          </w:tcPr>
          <w:p w14:paraId="4E555430">
            <w:pPr>
              <w:jc w:val="center"/>
              <w:rPr>
                <w:rFonts w:hint="default" w:ascii="宋体" w:hAnsi="宋体" w:eastAsia="宋体" w:cs="宋体"/>
                <w:sz w:val="15"/>
                <w:szCs w:val="15"/>
                <w:lang w:val="en-US" w:eastAsia="zh-CN"/>
              </w:rPr>
            </w:pPr>
            <w:r>
              <w:rPr>
                <w:rFonts w:hint="eastAsia" w:ascii="宋体" w:hAnsi="宋体" w:eastAsia="宋体" w:cs="宋体"/>
                <w:sz w:val="15"/>
                <w:szCs w:val="15"/>
                <w:lang w:val="en-US" w:eastAsia="zh-CN"/>
              </w:rPr>
              <w:t>项目类型</w:t>
            </w:r>
          </w:p>
        </w:tc>
        <w:tc>
          <w:tcPr>
            <w:tcW w:w="855" w:type="dxa"/>
            <w:vAlign w:val="center"/>
          </w:tcPr>
          <w:p w14:paraId="4708274A">
            <w:pPr>
              <w:jc w:val="center"/>
              <w:rPr>
                <w:rFonts w:hint="eastAsia" w:ascii="宋体" w:hAnsi="宋体" w:eastAsia="宋体" w:cs="宋体"/>
                <w:sz w:val="15"/>
                <w:szCs w:val="15"/>
              </w:rPr>
            </w:pPr>
            <w:r>
              <w:rPr>
                <w:rFonts w:hint="eastAsia" w:asciiTheme="minorEastAsia" w:hAnsiTheme="minorEastAsia" w:eastAsiaTheme="minorEastAsia" w:cstheme="minorEastAsia"/>
                <w:b w:val="0"/>
                <w:bCs w:val="0"/>
                <w:sz w:val="15"/>
                <w:szCs w:val="15"/>
                <w:lang w:val="en-US" w:eastAsia="zh-CN"/>
              </w:rPr>
              <w:t>中央资金</w:t>
            </w:r>
            <w:r>
              <w:rPr>
                <w:rFonts w:hint="eastAsia" w:asciiTheme="minorEastAsia" w:hAnsiTheme="minorEastAsia" w:eastAsiaTheme="minorEastAsia" w:cstheme="minorEastAsia"/>
                <w:b w:val="0"/>
                <w:bCs w:val="0"/>
                <w:sz w:val="15"/>
                <w:szCs w:val="15"/>
              </w:rPr>
              <w:t>（万元）</w:t>
            </w:r>
          </w:p>
        </w:tc>
        <w:tc>
          <w:tcPr>
            <w:tcW w:w="855" w:type="dxa"/>
            <w:vAlign w:val="center"/>
          </w:tcPr>
          <w:p w14:paraId="4A2182A1">
            <w:pPr>
              <w:jc w:val="center"/>
              <w:rPr>
                <w:rFonts w:hint="eastAsia" w:ascii="宋体" w:hAnsi="宋体" w:eastAsia="宋体" w:cs="宋体"/>
                <w:sz w:val="15"/>
                <w:szCs w:val="15"/>
                <w:lang w:val="en-US" w:eastAsia="zh-CN"/>
              </w:rPr>
            </w:pPr>
            <w:r>
              <w:rPr>
                <w:rFonts w:hint="eastAsia" w:asciiTheme="minorEastAsia" w:hAnsiTheme="minorEastAsia" w:eastAsiaTheme="minorEastAsia" w:cstheme="minorEastAsia"/>
                <w:b w:val="0"/>
                <w:bCs w:val="0"/>
                <w:sz w:val="15"/>
                <w:szCs w:val="15"/>
                <w:lang w:val="en-US" w:eastAsia="zh-CN"/>
              </w:rPr>
              <w:t>项目实施地点</w:t>
            </w:r>
          </w:p>
        </w:tc>
        <w:tc>
          <w:tcPr>
            <w:tcW w:w="975" w:type="dxa"/>
            <w:vAlign w:val="center"/>
          </w:tcPr>
          <w:p w14:paraId="0DF84233">
            <w:pPr>
              <w:jc w:val="center"/>
              <w:rPr>
                <w:rFonts w:hint="eastAsia" w:ascii="宋体" w:hAnsi="宋体" w:eastAsia="宋体" w:cs="宋体"/>
                <w:sz w:val="15"/>
                <w:szCs w:val="15"/>
                <w:lang w:val="en-US" w:eastAsia="zh-CN"/>
              </w:rPr>
            </w:pPr>
            <w:r>
              <w:rPr>
                <w:rFonts w:hint="eastAsia" w:asciiTheme="minorEastAsia" w:hAnsiTheme="minorEastAsia" w:cstheme="minorEastAsia"/>
                <w:b w:val="0"/>
                <w:bCs w:val="0"/>
                <w:sz w:val="15"/>
                <w:szCs w:val="15"/>
                <w:lang w:val="en-US" w:eastAsia="zh-CN"/>
              </w:rPr>
              <w:t>项目责任单位</w:t>
            </w:r>
          </w:p>
        </w:tc>
        <w:tc>
          <w:tcPr>
            <w:tcW w:w="1350" w:type="dxa"/>
            <w:vAlign w:val="center"/>
          </w:tcPr>
          <w:p w14:paraId="615D2009">
            <w:pPr>
              <w:keepNext w:val="0"/>
              <w:keepLines w:val="0"/>
              <w:widowControl/>
              <w:suppressLineNumbers w:val="0"/>
              <w:jc w:val="center"/>
              <w:textAlignment w:val="center"/>
              <w:rPr>
                <w:rFonts w:hint="eastAsia" w:ascii="宋体" w:hAnsi="宋体" w:eastAsia="宋体" w:cs="宋体"/>
                <w:sz w:val="15"/>
                <w:szCs w:val="15"/>
                <w:lang w:val="en-US" w:eastAsia="zh-CN"/>
              </w:rPr>
            </w:pPr>
            <w:r>
              <w:rPr>
                <w:rFonts w:hint="eastAsia" w:asciiTheme="minorEastAsia" w:hAnsiTheme="minorEastAsia" w:eastAsiaTheme="minorEastAsia" w:cstheme="minorEastAsia"/>
                <w:b w:val="0"/>
                <w:bCs w:val="0"/>
                <w:i w:val="0"/>
                <w:iCs w:val="0"/>
                <w:color w:val="000000"/>
                <w:kern w:val="0"/>
                <w:sz w:val="15"/>
                <w:szCs w:val="15"/>
                <w:u w:val="none"/>
                <w:lang w:val="en-US" w:eastAsia="zh-CN" w:bidi="ar"/>
              </w:rPr>
              <w:t>项目建设内容</w:t>
            </w:r>
          </w:p>
        </w:tc>
        <w:tc>
          <w:tcPr>
            <w:tcW w:w="5231" w:type="dxa"/>
            <w:vAlign w:val="center"/>
          </w:tcPr>
          <w:p w14:paraId="7F2655CF">
            <w:pPr>
              <w:keepNext w:val="0"/>
              <w:keepLines w:val="0"/>
              <w:widowControl/>
              <w:suppressLineNumbers w:val="0"/>
              <w:jc w:val="center"/>
              <w:textAlignment w:val="center"/>
              <w:rPr>
                <w:rFonts w:hint="eastAsia" w:ascii="宋体" w:hAnsi="宋体" w:eastAsia="宋体" w:cs="宋体"/>
                <w:sz w:val="15"/>
                <w:szCs w:val="15"/>
                <w:lang w:val="en-US" w:eastAsia="zh-CN"/>
              </w:rPr>
            </w:pPr>
            <w:r>
              <w:rPr>
                <w:rFonts w:hint="eastAsia" w:asciiTheme="minorEastAsia" w:hAnsiTheme="minorEastAsia" w:eastAsiaTheme="minorEastAsia" w:cstheme="minorEastAsia"/>
                <w:b w:val="0"/>
                <w:bCs w:val="0"/>
                <w:i w:val="0"/>
                <w:iCs w:val="0"/>
                <w:color w:val="000000"/>
                <w:kern w:val="0"/>
                <w:sz w:val="15"/>
                <w:szCs w:val="15"/>
                <w:u w:val="none"/>
                <w:lang w:val="en-US" w:eastAsia="zh-CN" w:bidi="ar"/>
              </w:rPr>
              <w:t>绩效目标</w:t>
            </w:r>
          </w:p>
        </w:tc>
        <w:tc>
          <w:tcPr>
            <w:tcW w:w="3222" w:type="dxa"/>
            <w:vAlign w:val="center"/>
          </w:tcPr>
          <w:p w14:paraId="0E9CA2CA">
            <w:pPr>
              <w:keepNext w:val="0"/>
              <w:keepLines w:val="0"/>
              <w:widowControl/>
              <w:suppressLineNumbers w:val="0"/>
              <w:jc w:val="center"/>
              <w:textAlignment w:val="center"/>
              <w:rPr>
                <w:rFonts w:hint="eastAsia" w:ascii="宋体" w:hAnsi="宋体" w:eastAsia="宋体" w:cs="宋体"/>
                <w:sz w:val="15"/>
                <w:szCs w:val="15"/>
                <w:lang w:val="en-US" w:eastAsia="zh-CN"/>
              </w:rPr>
            </w:pPr>
            <w:r>
              <w:rPr>
                <w:rFonts w:hint="eastAsia" w:asciiTheme="minorEastAsia" w:hAnsiTheme="minorEastAsia" w:eastAsiaTheme="minorEastAsia" w:cstheme="minorEastAsia"/>
                <w:b w:val="0"/>
                <w:bCs w:val="0"/>
                <w:i w:val="0"/>
                <w:iCs w:val="0"/>
                <w:color w:val="000000"/>
                <w:kern w:val="0"/>
                <w:sz w:val="15"/>
                <w:szCs w:val="15"/>
                <w:u w:val="none"/>
                <w:lang w:val="en-US" w:eastAsia="zh-CN" w:bidi="ar"/>
              </w:rPr>
              <w:t>联农带农机制</w:t>
            </w:r>
          </w:p>
        </w:tc>
      </w:tr>
      <w:tr w14:paraId="4206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587" w:type="dxa"/>
            <w:vAlign w:val="center"/>
          </w:tcPr>
          <w:p w14:paraId="7E8FA2D2">
            <w:pPr>
              <w:keepNext w:val="0"/>
              <w:keepLines w:val="0"/>
              <w:widowControl/>
              <w:suppressLineNumbers w:val="0"/>
              <w:jc w:val="left"/>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w:t>
            </w:r>
          </w:p>
        </w:tc>
        <w:tc>
          <w:tcPr>
            <w:tcW w:w="780" w:type="dxa"/>
            <w:vAlign w:val="center"/>
          </w:tcPr>
          <w:p w14:paraId="0995F1FC">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拉布大林房车营地旅游建设项目（二期）</w:t>
            </w:r>
          </w:p>
        </w:tc>
        <w:tc>
          <w:tcPr>
            <w:tcW w:w="960" w:type="dxa"/>
            <w:vAlign w:val="center"/>
          </w:tcPr>
          <w:p w14:paraId="0DE2FA2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产业发展</w:t>
            </w:r>
          </w:p>
        </w:tc>
        <w:tc>
          <w:tcPr>
            <w:tcW w:w="855" w:type="dxa"/>
            <w:vAlign w:val="center"/>
          </w:tcPr>
          <w:p w14:paraId="3F18211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168</w:t>
            </w:r>
          </w:p>
        </w:tc>
        <w:tc>
          <w:tcPr>
            <w:tcW w:w="855" w:type="dxa"/>
            <w:vAlign w:val="center"/>
          </w:tcPr>
          <w:p w14:paraId="6EF47F1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西山湿地南侧</w:t>
            </w:r>
          </w:p>
        </w:tc>
        <w:tc>
          <w:tcPr>
            <w:tcW w:w="975" w:type="dxa"/>
            <w:vAlign w:val="center"/>
          </w:tcPr>
          <w:p w14:paraId="4E66D239">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拉布大林街道办事处</w:t>
            </w:r>
          </w:p>
        </w:tc>
        <w:tc>
          <w:tcPr>
            <w:tcW w:w="1350" w:type="dxa"/>
            <w:vAlign w:val="center"/>
          </w:tcPr>
          <w:p w14:paraId="395616D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购置营地设施，并建设相关配套服务设施（含高清液晶电子屏及相应功能性宣传设备等）。</w:t>
            </w:r>
          </w:p>
        </w:tc>
        <w:tc>
          <w:tcPr>
            <w:tcW w:w="5231" w:type="dxa"/>
            <w:vAlign w:val="center"/>
          </w:tcPr>
          <w:p w14:paraId="29BEDAFA">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总目标：完善旅游配套体系，补齐户外露营基础设施短板，提升文旅服务品质，并兼顾旅游服务与民族团结宣传。</w:t>
            </w:r>
          </w:p>
          <w:p w14:paraId="188065FA">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数量指标1：为自驾车人群提供宿营设施≥8.       </w:t>
            </w:r>
          </w:p>
          <w:p w14:paraId="45EF4FF7">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数量指标2：高清液晶电子屏≥1.  </w:t>
            </w:r>
          </w:p>
          <w:p w14:paraId="6E3183F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bookmarkStart w:id="0" w:name="_GoBack"/>
            <w:bookmarkEnd w:id="0"/>
            <w:r>
              <w:rPr>
                <w:rFonts w:hint="eastAsia" w:ascii="宋体" w:hAnsi="宋体" w:eastAsia="宋体" w:cs="宋体"/>
                <w:i w:val="0"/>
                <w:iCs w:val="0"/>
                <w:color w:val="000000"/>
                <w:kern w:val="0"/>
                <w:sz w:val="15"/>
                <w:szCs w:val="15"/>
                <w:u w:val="none"/>
                <w:lang w:val="en-US" w:eastAsia="zh-CN" w:bidi="ar"/>
              </w:rPr>
              <w:t xml:space="preserve">质量指标1：项目验收合格率100%。              </w:t>
            </w:r>
          </w:p>
          <w:p w14:paraId="78B0F9B3">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质量指标2：项目建设与设计图纸及规范要求吻合度100%。                                       时效指标：2026年完工。                        </w:t>
            </w:r>
          </w:p>
          <w:p w14:paraId="190E000B">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成本指标：小于168万。                        </w:t>
            </w:r>
          </w:p>
          <w:p w14:paraId="51502A2D">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经济效益指标：当地受益人口数≥15人。         </w:t>
            </w:r>
          </w:p>
          <w:p w14:paraId="3E376331">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 xml:space="preserve">社会效益指标：赋予少数民族发展任务资金及支持项目以彰显铸牢中华民族共同体的意义，以维护统一、反对分裂的意义，以改善民生、凝聚人心。         生态效益指标：保护当地自然风貌和生态平衡，促进社会和谐。                                   可持续影响指标：持续带动文旅产业发展与本地就业增收。                                        满意度指标≥98%。  </w:t>
            </w:r>
          </w:p>
        </w:tc>
        <w:tc>
          <w:tcPr>
            <w:tcW w:w="3222" w:type="dxa"/>
            <w:vAlign w:val="center"/>
          </w:tcPr>
          <w:p w14:paraId="43908FC8">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宋体" w:hAnsi="宋体" w:eastAsia="宋体" w:cs="宋体"/>
                <w:i w:val="0"/>
                <w:iCs w:val="0"/>
                <w:color w:val="000000"/>
                <w:kern w:val="0"/>
                <w:sz w:val="15"/>
                <w:szCs w:val="15"/>
                <w:u w:val="none"/>
                <w:lang w:val="en-US" w:eastAsia="zh-CN" w:bidi="ar"/>
              </w:rPr>
            </w:pPr>
            <w:r>
              <w:rPr>
                <w:rFonts w:hint="eastAsia" w:ascii="宋体" w:hAnsi="宋体" w:eastAsia="宋体" w:cs="宋体"/>
                <w:i w:val="0"/>
                <w:iCs w:val="0"/>
                <w:color w:val="000000"/>
                <w:kern w:val="0"/>
                <w:sz w:val="15"/>
                <w:szCs w:val="15"/>
                <w:u w:val="none"/>
                <w:lang w:val="en-US" w:eastAsia="zh-CN" w:bidi="ar"/>
              </w:rPr>
              <w:t>为当地居民提供销售场地及自驾游客提供露营场地优质环境带动增加人口就业人数15人</w:t>
            </w:r>
          </w:p>
        </w:tc>
      </w:tr>
      <w:tr w14:paraId="65F1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587" w:type="dxa"/>
            <w:vAlign w:val="top"/>
          </w:tcPr>
          <w:p w14:paraId="02D71119">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both"/>
              <w:textAlignment w:val="auto"/>
              <w:outlineLvl w:val="9"/>
              <w:rPr>
                <w:rFonts w:hint="eastAsia" w:ascii="宋体" w:hAnsi="宋体" w:eastAsia="宋体" w:cs="宋体"/>
                <w:sz w:val="15"/>
                <w:szCs w:val="15"/>
                <w:lang w:val="en-US" w:eastAsia="zh-CN"/>
              </w:rPr>
            </w:pPr>
            <w:r>
              <w:rPr>
                <w:rFonts w:hint="eastAsia" w:ascii="宋体" w:hAnsi="宋体" w:eastAsia="宋体" w:cs="宋体"/>
                <w:sz w:val="15"/>
                <w:szCs w:val="15"/>
                <w:lang w:val="en-US" w:eastAsia="zh-CN"/>
              </w:rPr>
              <w:t>合计</w:t>
            </w:r>
          </w:p>
        </w:tc>
        <w:tc>
          <w:tcPr>
            <w:tcW w:w="780" w:type="dxa"/>
            <w:vAlign w:val="top"/>
          </w:tcPr>
          <w:p w14:paraId="057C5912">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both"/>
              <w:textAlignment w:val="auto"/>
              <w:outlineLvl w:val="9"/>
              <w:rPr>
                <w:rFonts w:hint="eastAsia" w:ascii="宋体" w:hAnsi="宋体" w:eastAsia="宋体" w:cs="宋体"/>
                <w:sz w:val="15"/>
                <w:szCs w:val="15"/>
                <w:lang w:val="en-US" w:eastAsia="zh-CN"/>
              </w:rPr>
            </w:pPr>
          </w:p>
        </w:tc>
        <w:tc>
          <w:tcPr>
            <w:tcW w:w="960" w:type="dxa"/>
            <w:vAlign w:val="center"/>
          </w:tcPr>
          <w:p w14:paraId="2C4A6AED">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0" w:firstLineChars="0"/>
              <w:jc w:val="both"/>
              <w:textAlignment w:val="auto"/>
              <w:outlineLvl w:val="9"/>
              <w:rPr>
                <w:rFonts w:hint="eastAsia" w:ascii="宋体" w:hAnsi="宋体" w:eastAsia="宋体" w:cs="宋体"/>
                <w:sz w:val="15"/>
                <w:szCs w:val="15"/>
                <w:lang w:val="en-US" w:eastAsia="zh-CN"/>
              </w:rPr>
            </w:pPr>
          </w:p>
        </w:tc>
        <w:tc>
          <w:tcPr>
            <w:tcW w:w="855" w:type="dxa"/>
            <w:vAlign w:val="center"/>
          </w:tcPr>
          <w:p w14:paraId="718924E0">
            <w:pPr>
              <w:keepNext w:val="0"/>
              <w:keepLines w:val="0"/>
              <w:widowControl/>
              <w:suppressLineNumbers w:val="0"/>
              <w:jc w:val="center"/>
              <w:textAlignment w:val="center"/>
              <w:rPr>
                <w:rFonts w:hint="default" w:ascii="宋体" w:hAnsi="宋体" w:eastAsia="宋体" w:cs="宋体"/>
                <w:i w:val="0"/>
                <w:iCs w:val="0"/>
                <w:color w:val="000000"/>
                <w:kern w:val="2"/>
                <w:sz w:val="15"/>
                <w:szCs w:val="15"/>
                <w:u w:val="none"/>
                <w:lang w:val="en-US" w:eastAsia="zh-CN" w:bidi="ar-SA"/>
              </w:rPr>
            </w:pPr>
            <w:r>
              <w:rPr>
                <w:rFonts w:hint="eastAsia" w:ascii="宋体" w:hAnsi="宋体" w:eastAsia="宋体" w:cs="宋体"/>
                <w:i w:val="0"/>
                <w:iCs w:val="0"/>
                <w:color w:val="000000"/>
                <w:kern w:val="2"/>
                <w:sz w:val="15"/>
                <w:szCs w:val="15"/>
                <w:u w:val="none"/>
                <w:lang w:val="en-US" w:eastAsia="zh-CN" w:bidi="ar-SA"/>
              </w:rPr>
              <w:t>168</w:t>
            </w:r>
          </w:p>
        </w:tc>
        <w:tc>
          <w:tcPr>
            <w:tcW w:w="855" w:type="dxa"/>
            <w:vAlign w:val="center"/>
          </w:tcPr>
          <w:p w14:paraId="62E51529">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975" w:type="dxa"/>
            <w:vAlign w:val="center"/>
          </w:tcPr>
          <w:p w14:paraId="489C77A4">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1350" w:type="dxa"/>
            <w:vAlign w:val="center"/>
          </w:tcPr>
          <w:p w14:paraId="33B529A3">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5231" w:type="dxa"/>
            <w:vAlign w:val="center"/>
          </w:tcPr>
          <w:p w14:paraId="49316C2C">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c>
          <w:tcPr>
            <w:tcW w:w="3222" w:type="dxa"/>
            <w:vAlign w:val="center"/>
          </w:tcPr>
          <w:p w14:paraId="0C88AE5E">
            <w:pPr>
              <w:keepNext w:val="0"/>
              <w:keepLines w:val="0"/>
              <w:widowControl/>
              <w:suppressLineNumbers w:val="0"/>
              <w:jc w:val="center"/>
              <w:textAlignment w:val="center"/>
              <w:rPr>
                <w:rFonts w:hint="eastAsia" w:ascii="宋体" w:hAnsi="宋体" w:eastAsia="宋体" w:cs="宋体"/>
                <w:i w:val="0"/>
                <w:iCs w:val="0"/>
                <w:color w:val="000000"/>
                <w:kern w:val="0"/>
                <w:sz w:val="15"/>
                <w:szCs w:val="15"/>
                <w:u w:val="none"/>
                <w:lang w:val="en-US" w:eastAsia="zh-CN" w:bidi="ar"/>
              </w:rPr>
            </w:pPr>
          </w:p>
        </w:tc>
      </w:tr>
    </w:tbl>
    <w:p w14:paraId="66C0CA5B"/>
    <w:p w14:paraId="087203BF"/>
    <w:p w14:paraId="74226DF7"/>
    <w:sectPr>
      <w:pgSz w:w="16838" w:h="11906" w:orient="landscape"/>
      <w:pgMar w:top="1803" w:right="1440" w:bottom="1803"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5817AF"/>
    <w:rsid w:val="1F581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2026-06-11T06:27:00Z</dcterms:created>
  <dc:creator>草长蝶舞</dc:creator>
  <cp:lastModifiedBy>草长蝶舞</cp:lastModifiedBy>
  <dcterms:modified xsi:type="dcterms:W3CDTF">2026-06-11T06:33:12Z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95202CD94B4542C284D5C4C630C6ABD6_11</vt:lpwstr>
  </property>
  <property fmtid="{D5CDD505-2E9C-101B-9397-08002B2CF9AE}" pid="4" name="KSOTemplateDocerSaveRecord">
    <vt:lpwstr>eyJoZGlkIjoiYTM1MjZjMmFiZDY0MjhkMDI3ZDMyZTE1ODhmMjBhMjkiLCJ1c2VySWQiOiIzMDE5NTY3NTcifQ==</vt:lpwstr>
  </property>
</Properties>
</file>