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803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方正公文小标宋" w:hAnsi="方正公文小标宋" w:eastAsia="方正公文小标宋" w:cs="方正公文小标宋"/>
          <w:bCs/>
          <w:sz w:val="44"/>
          <w:szCs w:val="44"/>
          <w:lang w:val="en-US" w:eastAsia="zh-CN"/>
        </w:rPr>
      </w:pPr>
    </w:p>
    <w:p w14:paraId="0A6BF2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eastAsia" w:ascii="方正公文小标宋" w:hAnsi="方正公文小标宋" w:eastAsia="方正公文小标宋" w:cs="方正公文小标宋"/>
          <w:bCs/>
          <w:sz w:val="44"/>
          <w:szCs w:val="44"/>
          <w:lang w:val="en-US" w:eastAsia="zh-CN"/>
        </w:rPr>
      </w:pPr>
    </w:p>
    <w:p w14:paraId="544F62F0">
      <w:pPr>
        <w:rPr>
          <w:rFonts w:hint="eastAsia"/>
          <w:lang w:val="en-US" w:eastAsia="zh-CN"/>
        </w:rPr>
      </w:pPr>
    </w:p>
    <w:p w14:paraId="14DBBC0C">
      <w:pPr>
        <w:pStyle w:val="7"/>
        <w:rPr>
          <w:rFonts w:hint="eastAsia"/>
          <w:lang w:val="en-US" w:eastAsia="zh-CN"/>
        </w:rPr>
      </w:pPr>
    </w:p>
    <w:p w14:paraId="13DD567D">
      <w:pPr>
        <w:rPr>
          <w:rFonts w:hint="eastAsia"/>
          <w:lang w:val="en-US" w:eastAsia="zh-CN"/>
        </w:rPr>
      </w:pPr>
    </w:p>
    <w:p w14:paraId="2FC3440F">
      <w:pPr>
        <w:rPr>
          <w:rFonts w:hint="eastAsia"/>
          <w:lang w:val="en-US" w:eastAsia="zh-CN"/>
        </w:rPr>
      </w:pPr>
    </w:p>
    <w:p w14:paraId="0A7B15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760" w:firstLineChars="18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额政字〔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85号</w:t>
      </w:r>
    </w:p>
    <w:p w14:paraId="4C3802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额尔古纳市人民政府</w:t>
      </w:r>
    </w:p>
    <w:p w14:paraId="088DD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关于印发《额尔古纳市城乡公交一体化运营</w:t>
      </w:r>
    </w:p>
    <w:p w14:paraId="3E7495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方案（试运行）》通知</w:t>
      </w:r>
    </w:p>
    <w:p w14:paraId="19BF2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56BF97E8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拉布大林、上库力街道办事处，三河回族乡、黑山头镇、恩和俄罗斯民族乡人民政府及市各有关部门：</w:t>
      </w:r>
      <w:bookmarkStart w:id="1" w:name="_GoBack"/>
      <w:bookmarkEnd w:id="1"/>
    </w:p>
    <w:p w14:paraId="1A0E53D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《额尔古纳市城乡公交一体化运营方案（试运行）》已经市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highlight w:val="none"/>
          <w:lang w:val="en-US" w:eastAsia="zh-CN"/>
        </w:rPr>
        <w:t>政府常务会议审议通过，现印发给你们，请结合实际贯彻落实。</w:t>
      </w:r>
    </w:p>
    <w:p w14:paraId="20D341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1598" w:leftChars="304" w:hanging="960" w:hangingChars="3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5169E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1598" w:leftChars="304" w:hanging="960" w:hangingChars="3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418A4C7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left="1598" w:leftChars="304" w:hanging="960" w:hangingChars="300"/>
        <w:jc w:val="right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2026年6月11日       </w:t>
      </w:r>
    </w:p>
    <w:p w14:paraId="68788731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60F8B37E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4498030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2CFF990F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28703B64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70FBB0D8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5EC949A7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58E498D7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04C995B7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4DCD9376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2924891B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295F429B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3EC1105A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5F84EF3C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4E4EB603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4727895B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1186ECCA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679C4F4F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6508082B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184E2902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4F3AAA2A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3FFE0268">
      <w:pPr>
        <w:pStyle w:val="2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tbl>
      <w:tblPr>
        <w:tblStyle w:val="10"/>
        <w:tblW w:w="8800" w:type="dxa"/>
        <w:tblInd w:w="108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18" w:space="0"/>
          <w:insideV w:val="single" w:color="auto" w:sz="1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0"/>
      </w:tblGrid>
      <w:tr w14:paraId="295D315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18" w:space="0"/>
            <w:insideV w:val="single" w:color="auto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8800" w:type="dxa"/>
            <w:tcBorders>
              <w:left w:val="nil"/>
              <w:right w:val="nil"/>
            </w:tcBorders>
            <w:noWrap w:val="0"/>
            <w:vAlign w:val="center"/>
          </w:tcPr>
          <w:p w14:paraId="1A8B5804">
            <w:pPr>
              <w:spacing w:line="600" w:lineRule="exact"/>
              <w:jc w:val="center"/>
              <w:rPr>
                <w:rFonts w:hint="eastAsia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额尔古纳市人民政府办公室   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32"/>
                <w:szCs w:val="32"/>
              </w:rPr>
              <w:t xml:space="preserve">  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/>
                <w:sz w:val="32"/>
                <w:szCs w:val="32"/>
              </w:rPr>
              <w:t>20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26</w:t>
            </w:r>
            <w:r>
              <w:rPr>
                <w:rFonts w:hint="eastAsia" w:ascii="仿宋_GB2312" w:eastAsia="仿宋_GB2312"/>
                <w:sz w:val="32"/>
                <w:szCs w:val="32"/>
              </w:rPr>
              <w:t>年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32"/>
                <w:szCs w:val="32"/>
              </w:rPr>
              <w:t>月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11</w:t>
            </w:r>
            <w:r>
              <w:rPr>
                <w:rFonts w:hint="eastAsia" w:ascii="仿宋_GB2312" w:eastAsia="仿宋_GB2312"/>
                <w:sz w:val="32"/>
                <w:szCs w:val="32"/>
              </w:rPr>
              <w:t>日印发</w:t>
            </w:r>
          </w:p>
        </w:tc>
      </w:tr>
    </w:tbl>
    <w:p w14:paraId="7791B31B">
      <w:pPr>
        <w:spacing w:line="500" w:lineRule="exact"/>
        <w:ind w:right="160"/>
        <w:jc w:val="righ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共印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份</w:t>
      </w:r>
    </w:p>
    <w:p w14:paraId="5BD8B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sectPr>
          <w:pgSz w:w="11906" w:h="16838"/>
          <w:pgMar w:top="2098" w:right="1531" w:bottom="1984" w:left="1531" w:header="851" w:footer="992" w:gutter="0"/>
          <w:pgNumType w:fmt="numberInDash"/>
          <w:cols w:space="720" w:num="1"/>
          <w:docGrid w:type="lines" w:linePitch="312" w:charSpace="0"/>
        </w:sectPr>
      </w:pPr>
    </w:p>
    <w:p w14:paraId="1D0A0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额尔古纳市城乡公交一体化</w:t>
      </w:r>
    </w:p>
    <w:p w14:paraId="2C1B9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运营方案（试运行）</w:t>
      </w:r>
    </w:p>
    <w:p w14:paraId="779462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</w:p>
    <w:p w14:paraId="7BDC0A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一、运营总体思路</w:t>
      </w:r>
    </w:p>
    <w:p w14:paraId="1A02F3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进一步优化额尔古纳市公共交通网络布局，提升公交运营服务品质与效率，满足市区及城乡居民多元化出行需求，助力交邮融合发展及旅游产业提质增效，推动乡村振兴战略落地见效，结合市域客流分布规律、城乡发展实际及现有公交资源配置情况，本方案通过实施运营车辆差异化配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鼓励发展配置新能源车辆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优化运力资源供需匹配，鼓励公交运营企业深化改革转型，激发内生发展动力，主动探索交邮融合运营新模式，充分整合客运与邮政快递资源，构建“一站多能、一车多用”的综合交通运输服务体系。方案以“安全便捷、高效优质、因地制宜、统筹兼顾”为核心原则，统筹规划市区与城乡公交运营体系，切实破解群众出行痛点问题，为额尔古纳市经济社会高质量发展提供坚实的公共交通保障。</w:t>
      </w:r>
    </w:p>
    <w:p w14:paraId="3C045C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二、市内运营方案</w:t>
      </w:r>
    </w:p>
    <w:p w14:paraId="18D9CA49">
      <w:pPr>
        <w:spacing w:line="600" w:lineRule="exact"/>
        <w:ind w:firstLine="640" w:firstLineChars="200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（一）线路布局</w:t>
      </w:r>
    </w:p>
    <w:p w14:paraId="4BF8CF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针对市内居民短途高频的出行规律，规划设置 1 路、2 路、3 路三条市内公交线路，优化始发站点布局，合理划定运营时段与发车间隔，科学配置运营班次，精准匹配市民市内出行需求，切实保障核心区域与居民区的公交出行服务便捷性。</w:t>
      </w:r>
    </w:p>
    <w:p w14:paraId="3C36C9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1路公交：始发站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与终点站均</w:t>
      </w:r>
      <w:r>
        <w:rPr>
          <w:rFonts w:hint="eastAsia" w:ascii="仿宋_GB2312" w:hAnsi="仿宋_GB2312" w:eastAsia="仿宋_GB2312" w:cs="仿宋_GB2312"/>
          <w:sz w:val="32"/>
          <w:szCs w:val="32"/>
        </w:rPr>
        <w:t>为客运总站，线路长度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共</w:t>
      </w:r>
      <w:r>
        <w:rPr>
          <w:rFonts w:hint="eastAsia" w:ascii="仿宋_GB2312" w:hAnsi="仿宋_GB2312" w:eastAsia="仿宋_GB2312" w:cs="仿宋_GB2312"/>
          <w:sz w:val="32"/>
          <w:szCs w:val="32"/>
        </w:rPr>
        <w:t>12公里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21416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运营时间为7</w:t>
      </w:r>
      <w:r>
        <w:rPr>
          <w:rFonts w:hint="eastAsia" w:ascii="仿宋_GB2312" w:hAnsi="仿宋_GB2312" w:eastAsia="仿宋_GB2312" w:cs="仿宋_GB2312"/>
          <w:sz w:val="32"/>
          <w:szCs w:val="32"/>
        </w:rPr>
        <w:t>:30-11: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0、1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0-17: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每日共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个班次</w:t>
      </w:r>
      <w:r>
        <w:rPr>
          <w:rFonts w:hint="default" w:ascii="仿宋_GB2312" w:hAnsi="仿宋_GB2312" w:eastAsia="仿宋_GB2312" w:cs="仿宋_GB2312"/>
          <w:sz w:val="32"/>
          <w:szCs w:val="32"/>
          <w:lang w:val="en-US"/>
        </w:rPr>
        <w:t>。</w:t>
      </w:r>
    </w:p>
    <w:p w14:paraId="4D2C58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drawing>
          <wp:inline distT="0" distB="0" distL="114300" distR="114300">
            <wp:extent cx="4225925" cy="2811145"/>
            <wp:effectExtent l="0" t="0" r="3175" b="8255"/>
            <wp:docPr id="7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 descr="图片1"/>
                    <pic:cNvPicPr preferRelativeResize="0">
                      <a:picLocks noChangeAspect="1"/>
                    </pic:cNvPicPr>
                  </pic:nvPicPr>
                  <pic:blipFill>
                    <a:blip r:embed="rId5"/>
                    <a:srcRect t="6020"/>
                    <a:stretch>
                      <a:fillRect/>
                    </a:stretch>
                  </pic:blipFill>
                  <pic:spPr>
                    <a:xfrm>
                      <a:off x="0" y="0"/>
                      <a:ext cx="4225925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200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2路公交：始发站为林业小区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终点站为体育馆</w:t>
      </w:r>
      <w:r>
        <w:rPr>
          <w:rFonts w:hint="eastAsia" w:ascii="仿宋_GB2312" w:hAnsi="仿宋_GB2312" w:eastAsia="仿宋_GB2312" w:cs="仿宋_GB2312"/>
          <w:sz w:val="32"/>
          <w:szCs w:val="32"/>
        </w:rPr>
        <w:t>，线路长度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共</w:t>
      </w:r>
      <w:r>
        <w:rPr>
          <w:rFonts w:hint="eastAsia" w:ascii="仿宋_GB2312" w:hAnsi="仿宋_GB2312" w:eastAsia="仿宋_GB2312" w:cs="仿宋_GB2312"/>
          <w:sz w:val="32"/>
          <w:szCs w:val="32"/>
        </w:rPr>
        <w:t>11公里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BEEF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运营时间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为7</w:t>
      </w:r>
      <w:r>
        <w:rPr>
          <w:rFonts w:hint="eastAsia" w:ascii="仿宋_GB2312" w:hAnsi="仿宋_GB2312" w:eastAsia="仿宋_GB2312" w:cs="仿宋_GB2312"/>
          <w:sz w:val="32"/>
          <w:szCs w:val="32"/>
        </w:rPr>
        <w:t>:30-11: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0、1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0-17: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0，每日共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个班次</w:t>
      </w:r>
      <w:r>
        <w:rPr>
          <w:rFonts w:hint="default" w:ascii="仿宋_GB2312" w:hAnsi="仿宋_GB2312" w:eastAsia="仿宋_GB2312" w:cs="仿宋_GB2312"/>
          <w:sz w:val="32"/>
          <w:szCs w:val="32"/>
          <w:lang w:val="en-US"/>
        </w:rPr>
        <w:t>。</w:t>
      </w:r>
    </w:p>
    <w:p w14:paraId="1DCC9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drawing>
          <wp:inline distT="0" distB="0" distL="114300" distR="114300">
            <wp:extent cx="4154805" cy="3027680"/>
            <wp:effectExtent l="0" t="0" r="17145" b="1270"/>
            <wp:docPr id="3" name="图片 2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图片2"/>
                    <pic:cNvPicPr preferRelativeResize="0">
                      <a:picLocks noChangeAspect="1"/>
                    </pic:cNvPicPr>
                  </pic:nvPicPr>
                  <pic:blipFill>
                    <a:blip r:embed="rId6"/>
                    <a:srcRect l="3864" t="5779" r="5066"/>
                    <a:stretch>
                      <a:fillRect/>
                    </a:stretch>
                  </pic:blipFill>
                  <pic:spPr>
                    <a:xfrm>
                      <a:off x="0" y="0"/>
                      <a:ext cx="4154805" cy="302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C93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3路公交：始发站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与终点站均</w:t>
      </w:r>
      <w:r>
        <w:rPr>
          <w:rFonts w:hint="eastAsia" w:ascii="仿宋_GB2312" w:hAnsi="仿宋_GB2312" w:eastAsia="仿宋_GB2312" w:cs="仿宋_GB2312"/>
          <w:sz w:val="32"/>
          <w:szCs w:val="32"/>
        </w:rPr>
        <w:t>为客运总站，线路长度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共</w:t>
      </w:r>
      <w:r>
        <w:rPr>
          <w:rFonts w:hint="eastAsia" w:ascii="仿宋_GB2312" w:hAnsi="仿宋_GB2312" w:eastAsia="仿宋_GB2312" w:cs="仿宋_GB2312"/>
          <w:sz w:val="32"/>
          <w:szCs w:val="32"/>
        </w:rPr>
        <w:t>8公里。</w:t>
      </w:r>
    </w:p>
    <w:p w14:paraId="393A03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运营时间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为7</w:t>
      </w:r>
      <w:r>
        <w:rPr>
          <w:rFonts w:hint="eastAsia" w:ascii="仿宋_GB2312" w:hAnsi="仿宋_GB2312" w:eastAsia="仿宋_GB2312" w:cs="仿宋_GB2312"/>
          <w:sz w:val="32"/>
          <w:szCs w:val="32"/>
        </w:rPr>
        <w:t>:30-11: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0、1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0-1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0，每日共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个班次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7E69B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drawing>
          <wp:inline distT="0" distB="0" distL="114300" distR="114300">
            <wp:extent cx="4291330" cy="3040380"/>
            <wp:effectExtent l="0" t="0" r="13970" b="7620"/>
            <wp:docPr id="6" name="图片 3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图片3"/>
                    <pic:cNvPicPr preferRelativeResize="0"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133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368F1">
      <w:pPr>
        <w:spacing w:line="600" w:lineRule="exact"/>
        <w:ind w:firstLine="640" w:firstLineChars="200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（二）运营管理</w:t>
      </w:r>
    </w:p>
    <w:p w14:paraId="1485F1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交车须严格依照核定班次及线路运营，交通主管部门将定期对公交车辆的线路走向、运营时间、发车频次及运行公里数等指标开展专项核查，对违规不合格情形依法予以处罚。因车辆故障、道路施工等特殊情况需调整班次的，须提前24小时向交通主管部门履行报备手续，并通过网络、站点公告等渠道向社会公示。</w:t>
      </w:r>
    </w:p>
    <w:p w14:paraId="0C71A0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三、城乡运营方案</w:t>
      </w:r>
    </w:p>
    <w:p w14:paraId="25A3C27F">
      <w:pPr>
        <w:spacing w:line="600" w:lineRule="exact"/>
        <w:ind w:firstLine="640" w:firstLineChars="200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（一）线路布局</w:t>
      </w:r>
    </w:p>
    <w:p w14:paraId="389F1E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结合城乡客流特征，工作日早晚高峰客流主要以乡镇职工通勤、就医及办事人员为主，周末客流量相对平稳。针对城乡居民“早进城、晚归乡”的出行规律，计划对三河、苏沁、上库力、黑山头、恩和（含正阳屯、七卡屯）等乡镇线路，每日安排2个班次发往拉布大林；同时为保障各乡镇工作人员通勤需求，每日由拉布大林发往各乡镇2个班次，有效解决各乡镇工作人员通勤难题及偏远群众出行不便的问题。此外，城乡公交将结合客流季节特征，开通季节发车线路，助力额尔古纳市交邮融合工作及旅游行业发展。</w:t>
      </w:r>
    </w:p>
    <w:p w14:paraId="47C1C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拉布大林至上库力线路：发车时间8:30、16:20，返回时间9:00、17:00，途经良种站，线路里程为26公里；</w:t>
      </w:r>
    </w:p>
    <w:p w14:paraId="6BDD3E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drawing>
          <wp:inline distT="0" distB="0" distL="114300" distR="114300">
            <wp:extent cx="5269865" cy="1035050"/>
            <wp:effectExtent l="0" t="0" r="6985" b="1270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 preferRelativeResize="0">
                      <a:picLocks noChangeAspect="1"/>
                    </pic:cNvPicPr>
                  </pic:nvPicPr>
                  <pic:blipFill>
                    <a:blip r:embed="rId8"/>
                    <a:srcRect b="2293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F8C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拉布大林至三河线路：发车时间8:10、16:00，返回时间9:30、17:10，途经根河桥，线路里程为34公里；</w:t>
      </w:r>
    </w:p>
    <w:p w14:paraId="6971DE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拉布大林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至</w:t>
      </w:r>
      <w:r>
        <w:rPr>
          <w:rFonts w:hint="eastAsia" w:ascii="仿宋_GB2312" w:hAnsi="仿宋_GB2312" w:eastAsia="仿宋_GB2312" w:cs="仿宋_GB2312"/>
          <w:sz w:val="32"/>
          <w:szCs w:val="32"/>
        </w:rPr>
        <w:t>苏沁线路：发车时间7:40、13:00，返回时间11:00、15:00，途经三河、机耕，线路里程为63公里；</w:t>
      </w:r>
    </w:p>
    <w:p w14:paraId="361AB8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drawing>
          <wp:inline distT="0" distB="0" distL="114300" distR="114300">
            <wp:extent cx="5269865" cy="1047750"/>
            <wp:effectExtent l="0" t="0" r="698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 preferRelativeResize="0">
                      <a:picLocks noChangeAspect="1"/>
                    </pic:cNvPicPr>
                  </pic:nvPicPr>
                  <pic:blipFill>
                    <a:blip r:embed="rId9"/>
                    <a:srcRect t="6003" b="1660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4A4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拉布大林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至</w:t>
      </w:r>
      <w:r>
        <w:rPr>
          <w:rFonts w:hint="eastAsia" w:ascii="仿宋_GB2312" w:hAnsi="仿宋_GB2312" w:eastAsia="仿宋_GB2312" w:cs="仿宋_GB2312"/>
          <w:sz w:val="32"/>
          <w:szCs w:val="32"/>
        </w:rPr>
        <w:t>七卡线路：发车时间8:00，返回时间15:30，途经恩和、向阳、正阳，线路里程为158公里；</w:t>
      </w:r>
    </w:p>
    <w:p w14:paraId="0F45D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drawing>
          <wp:inline distT="0" distB="0" distL="114300" distR="114300">
            <wp:extent cx="5269865" cy="993775"/>
            <wp:effectExtent l="0" t="0" r="6985" b="15875"/>
            <wp:docPr id="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/>
                    <pic:cNvPicPr preferRelativeResize="0">
                      <a:picLocks noChangeAspect="1"/>
                    </pic:cNvPicPr>
                  </pic:nvPicPr>
                  <pic:blipFill>
                    <a:blip r:embed="rId10"/>
                    <a:srcRect b="1558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703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拉布大林至黑山头线路：发车时间7:50、15:30，返回时间9:00、17:10，途经四队、桦树林，线路里程为57公里；</w:t>
      </w:r>
    </w:p>
    <w:p w14:paraId="5B9611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drawing>
          <wp:inline distT="0" distB="0" distL="114300" distR="114300">
            <wp:extent cx="5269230" cy="1132840"/>
            <wp:effectExtent l="0" t="0" r="7620" b="10160"/>
            <wp:docPr id="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/>
                    <pic:cNvPicPr preferRelativeResize="0">
                      <a:picLocks noChangeAspect="1"/>
                    </pic:cNvPicPr>
                  </pic:nvPicPr>
                  <pic:blipFill>
                    <a:blip r:embed="rId11"/>
                    <a:srcRect t="5821" b="1780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199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拉布大林至国家湿地公园线路（季节发车线路）：发车时间8:30、14:00，返回时间11:00、16:30，线路里程为33公里；</w:t>
      </w:r>
    </w:p>
    <w:p w14:paraId="020057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拉布大林至白桦林景区线路（季节发车线路）：发车时间8:20、16:00，返回时间9:30、17:00，线路里程为41公里。</w:t>
      </w:r>
    </w:p>
    <w:p w14:paraId="513FD755">
      <w:pPr>
        <w:spacing w:line="600" w:lineRule="exact"/>
        <w:ind w:firstLine="640" w:firstLineChars="200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（二）运营管理</w:t>
      </w:r>
    </w:p>
    <w:p w14:paraId="58A26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城乡公交车辆管理须严格遵照农村客运车辆安全管理方案执行，严格遵循核定线路、停靠站点及运营时间运营。交通主管部门将定期对车辆安全技术状况、载客限额、运行台账及站点服务规范等指标开展专项核查，对违规行为依法实施处罚。</w:t>
      </w:r>
    </w:p>
    <w:p w14:paraId="15A99F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四、服务与管理措施</w:t>
      </w:r>
    </w:p>
    <w:p w14:paraId="2C653A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保障城市公共交通运营安全有序，提升服务质量，依据《城市公共交通条例》《中华人民共和国道路交通安全法》《道路运输从业人员管理规定》《城市公共汽车和电车客运管理规定》等相关法律法规，现就公共交通运营管理相关要求规范如下：</w:t>
      </w:r>
    </w:p>
    <w:p w14:paraId="2F234E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规范站点设施管理。公交站点设施应当保持完好无损并符合国家及行业相关标准。依据《城市公共交通条例》规定，站牌及经城市公共交通主管部门备案的运营线路、票价、服务时间、投诉电话等信息须清晰公示；站点环境应保持整洁有序。严格执行危险品禁运规定，严禁危险品进站乘车；定期开展设施安全隐患排查整治，及时更新备案后的运营线路及班次信息；妥善处置各类突发情况，切实保障乘客候车安全。</w:t>
      </w:r>
    </w:p>
    <w:p w14:paraId="7DB6E5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严格运营车辆管控。运营车辆须符合国家机动车安全技术标准，无乘客站立区的车辆须经安全评估合格，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并符合相关运营标准后</w:t>
      </w:r>
      <w:r>
        <w:rPr>
          <w:rFonts w:hint="eastAsia" w:ascii="仿宋_GB2312" w:hAnsi="仿宋_GB2312" w:eastAsia="仿宋_GB2312" w:cs="仿宋_GB2312"/>
          <w:sz w:val="32"/>
          <w:szCs w:val="32"/>
        </w:rPr>
        <w:t>方可投入运营。依据《城市公共交通条例》《城市公共汽车和电车客运管理规定》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规定，运营企业应按线路特许经营协议确定的数量、车型配备车辆，并报城市公共交通主管部门备案。车辆安全设施须齐全有效，车内规范张贴乘车规则及备案线路信息，设置特需乘客专用座位，配备投币、刷卡等多元化支付设备。车辆须全程严格按照备案核准的线路、站点及行车作业计划运营，严禁擅自变更；确需调整的，须按规定程序上报备案后实施，确保行车安全与服务质量双达标。</w:t>
      </w:r>
    </w:p>
    <w:p w14:paraId="1E2441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强化驾驶员管理。驾驶员须持有效机动车驾驶证及相应从业资格证件上岗，严格遵守《中华人民共和国道路交通安全法》相关规定，践行文明安全驾驶规范，严禁超速、疲劳驾驶、违规停靠等行为。严格执行车辆安全检查制度，在出车前、行车中、收车后细致核查车辆安全状态；主动劝阻乘客携带危险品上车，规范执行停靠及上下客流程。依据《道路运输从业人员管理规定》要求，驾驶员须定期参加安全与服务培训，熟练掌握突发事件处置预案，主动提醒乘客安全乘车，保持良好运营状态，切实履行行车安全首要责任。</w:t>
      </w:r>
    </w:p>
    <w:p w14:paraId="7323B6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五、保障与监管</w:t>
      </w:r>
    </w:p>
    <w:p w14:paraId="231895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在城乡公交运营管理工作中，市交通主管部门通过招投标的方式选择运营企业，不符合招投标条件的，由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市交通</w:t>
      </w:r>
      <w:r>
        <w:rPr>
          <w:rFonts w:hint="eastAsia" w:ascii="仿宋_GB2312" w:hAnsi="仿宋_GB2312" w:eastAsia="仿宋_GB2312" w:cs="仿宋_GB2312"/>
          <w:sz w:val="32"/>
          <w:szCs w:val="32"/>
        </w:rPr>
        <w:t>主管部门择优选择取得线路运营权的运营企业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并与中标企业签订特许运营协议，协议中明确包含线路规划、运营期限、风险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分担</w:t>
      </w:r>
      <w:r>
        <w:rPr>
          <w:rFonts w:hint="eastAsia" w:ascii="仿宋_GB2312" w:hAnsi="仿宋_GB2312" w:eastAsia="仿宋_GB2312" w:cs="仿宋_GB2312"/>
          <w:sz w:val="32"/>
          <w:szCs w:val="32"/>
        </w:rPr>
        <w:t>等核心条款</w:t>
      </w:r>
      <w:bookmarkStart w:id="0" w:name="OLE_LINK1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市财政部门对本级财政拨付的市内公交运营补贴118万元、城乡公交运营补贴40万元及上级拨付的其他补贴资金进行监督管理，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旨在保障城乡公交服务的公益性与稳定性，降低企业运营成本以激励其持续投入优质服务资源，且补贴发放与企业运营表现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考核结果</w:t>
      </w:r>
      <w:r>
        <w:rPr>
          <w:rFonts w:hint="eastAsia" w:ascii="仿宋_GB2312" w:hAnsi="仿宋_GB2312" w:eastAsia="仿宋_GB2312" w:cs="仿宋_GB2312"/>
          <w:sz w:val="32"/>
          <w:szCs w:val="32"/>
        </w:rPr>
        <w:t>直接挂钩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审计部门每年对上述资金的使用进行相关审计工作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159F5A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市交通主管部门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牵头，联合财政、公安、应急等职能部门，</w:t>
      </w:r>
      <w:r>
        <w:rPr>
          <w:rFonts w:hint="eastAsia" w:ascii="仿宋_GB2312" w:hAnsi="仿宋_GB2312" w:eastAsia="仿宋_GB2312" w:cs="仿宋_GB2312"/>
          <w:sz w:val="32"/>
          <w:szCs w:val="32"/>
        </w:rPr>
        <w:t>依据《城市公共汽车和电车客运管理规定》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等相关法律法规</w:t>
      </w:r>
      <w:r>
        <w:rPr>
          <w:rFonts w:hint="eastAsia" w:ascii="仿宋_GB2312" w:hAnsi="仿宋_GB2312" w:eastAsia="仿宋_GB2312" w:cs="仿宋_GB2312"/>
          <w:sz w:val="32"/>
          <w:szCs w:val="32"/>
        </w:rPr>
        <w:t>定期对市域内城乡公交运营企业开展全面评估考核，考核内容涵盖补贴资金规范使用、安全生产责任落实、信用质量等级评定、服务标准达标情况等多个核心方面，并畅通举报渠道，对违规现象依法予以处罚，以此督促运营企业持续提升运营质量与服务水平。</w:t>
      </w:r>
    </w:p>
    <w:p w14:paraId="0A98440D">
      <w:pP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sectPr>
      <w:footerReference r:id="rId3" w:type="default"/>
      <w:pgSz w:w="11906" w:h="16838"/>
      <w:pgMar w:top="1440" w:right="1531" w:bottom="1440" w:left="1531" w:header="851" w:footer="992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7446115-44DF-4CAC-BED7-2450D4184E8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BA628AA-1E4F-4E76-B7EC-B3EE95907C12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39EEC947-7011-409C-B62C-A0788EBE73B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4FC021C4-6D60-4787-A84C-55A0D88AC7BB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F017669F-63F1-4C31-9E09-27941FECBBA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4ADBCAB0-0A35-449F-81DD-B0C84D18D1DD}"/>
  </w:font>
  <w:font w:name="WPSEMBED1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EBDDC5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6300BC">
                          <w:pPr>
                            <w:pStyle w:val="5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6300BC">
                    <w:pPr>
                      <w:pStyle w:val="5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wYTllMWFlY2JkNWM1MzY1MjVjMjFiYzJkZWRkYmQifQ=="/>
  </w:docVars>
  <w:rsids>
    <w:rsidRoot w:val="00000000"/>
    <w:rsid w:val="01394C0A"/>
    <w:rsid w:val="019E074A"/>
    <w:rsid w:val="021C7375"/>
    <w:rsid w:val="063B2022"/>
    <w:rsid w:val="08D579D6"/>
    <w:rsid w:val="09803689"/>
    <w:rsid w:val="0A575C6D"/>
    <w:rsid w:val="0C6841EA"/>
    <w:rsid w:val="0C7E11C2"/>
    <w:rsid w:val="0D711C08"/>
    <w:rsid w:val="13A72109"/>
    <w:rsid w:val="16D735C9"/>
    <w:rsid w:val="175F2770"/>
    <w:rsid w:val="18521870"/>
    <w:rsid w:val="19420CC3"/>
    <w:rsid w:val="198F5FA2"/>
    <w:rsid w:val="1A693DDD"/>
    <w:rsid w:val="1C2A0426"/>
    <w:rsid w:val="1D834928"/>
    <w:rsid w:val="1E3649B9"/>
    <w:rsid w:val="24364D13"/>
    <w:rsid w:val="247B7A54"/>
    <w:rsid w:val="26933A15"/>
    <w:rsid w:val="2B115975"/>
    <w:rsid w:val="2C230DE8"/>
    <w:rsid w:val="2F5913BA"/>
    <w:rsid w:val="2FAD10F3"/>
    <w:rsid w:val="36724CC9"/>
    <w:rsid w:val="3A685E1D"/>
    <w:rsid w:val="3B1F412F"/>
    <w:rsid w:val="3B536A8D"/>
    <w:rsid w:val="3C606E9B"/>
    <w:rsid w:val="3D2C3A29"/>
    <w:rsid w:val="432769D0"/>
    <w:rsid w:val="4BB72A8B"/>
    <w:rsid w:val="4BC87939"/>
    <w:rsid w:val="4F364C44"/>
    <w:rsid w:val="4FB22607"/>
    <w:rsid w:val="505D589C"/>
    <w:rsid w:val="50C92A81"/>
    <w:rsid w:val="579605E8"/>
    <w:rsid w:val="57B6295F"/>
    <w:rsid w:val="5B915F9E"/>
    <w:rsid w:val="5EBB264C"/>
    <w:rsid w:val="5F7F766B"/>
    <w:rsid w:val="603779C0"/>
    <w:rsid w:val="68F14BF4"/>
    <w:rsid w:val="695B21AB"/>
    <w:rsid w:val="697A0608"/>
    <w:rsid w:val="6C2F5CCE"/>
    <w:rsid w:val="6D436A6E"/>
    <w:rsid w:val="71A378E5"/>
    <w:rsid w:val="740F0761"/>
    <w:rsid w:val="78E81387"/>
    <w:rsid w:val="7B4F2F48"/>
    <w:rsid w:val="7F311253"/>
    <w:rsid w:val="7FA367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Calibri" w:hAnsi="Calibri" w:cs="Arial"/>
      <w:b/>
      <w:kern w:val="44"/>
      <w:sz w:val="44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4">
    <w:name w:val="Body Text"/>
    <w:basedOn w:val="1"/>
    <w:next w:val="1"/>
    <w:qFormat/>
    <w:uiPriority w:val="0"/>
    <w:pPr>
      <w:spacing w:after="120"/>
    </w:pPr>
    <w:rPr>
      <w:rFonts w:hint="eastAsia" w:ascii="等线" w:hAnsi="等线" w:eastAsia="等线"/>
      <w:szCs w:val="2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2"/>
    <w:basedOn w:val="1"/>
    <w:next w:val="1"/>
    <w:qFormat/>
    <w:uiPriority w:val="39"/>
    <w:pPr>
      <w:ind w:left="420" w:leftChars="200"/>
    </w:pPr>
  </w:style>
  <w:style w:type="paragraph" w:styleId="8">
    <w:name w:val="toc 9"/>
    <w:basedOn w:val="1"/>
    <w:next w:val="1"/>
    <w:qFormat/>
    <w:uiPriority w:val="0"/>
    <w:pPr>
      <w:ind w:left="3360" w:leftChars="1600"/>
    </w:pPr>
    <w:rPr>
      <w:rFonts w:ascii="Calibri" w:hAnsi="Calibri" w:cs="黑体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2">
    <w:name w:val="管理正文"/>
    <w:basedOn w:val="1"/>
    <w:qFormat/>
    <w:uiPriority w:val="0"/>
    <w:pPr>
      <w:spacing w:after="0" w:line="360" w:lineRule="auto"/>
      <w:ind w:firstLine="431"/>
      <w:jc w:val="both"/>
    </w:pPr>
    <w:rPr>
      <w:rFonts w:ascii="Times New Roman" w:hAnsi="Times New Roman"/>
      <w:sz w:val="24"/>
      <w:szCs w:val="24"/>
    </w:rPr>
  </w:style>
  <w:style w:type="paragraph" w:customStyle="1" w:styleId="13">
    <w:name w:val="样式 首行缩进:  2 字符"/>
    <w:next w:val="8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Calibri" w:hAnsi="Calibri" w:eastAsia="宋体" w:cs="宋体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2796</Words>
  <Characters>2976</Characters>
  <Lines>0</Lines>
  <Paragraphs>0</Paragraphs>
  <TotalTime>2</TotalTime>
  <ScaleCrop>false</ScaleCrop>
  <LinksUpToDate>false</LinksUpToDate>
  <CharactersWithSpaces>2987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2022-03-29T02:42:00Z</dcterms:created>
  <dc:creator>常乐</dc:creator>
  <cp:lastModifiedBy>Administrator</cp:lastModifiedBy>
  <cp:lastPrinted>2026-06-11T08:50:32Z</cp:lastPrinted>
  <dcterms:modified xsi:type="dcterms:W3CDTF">2026-06-12T08:47:51Z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EC981725C476452AB7A4BF465EF571BB_13</vt:lpwstr>
  </property>
  <property fmtid="{D5CDD505-2E9C-101B-9397-08002B2CF9AE}" pid="4" name="KSOTemplateDocerSaveRecord">
    <vt:lpwstr>eyJoZGlkIjoiODliNzlmOTM0ODljYzI1YWIxMzlkY2I1ZTAxODc4ODkiLCJ1c2VySWQiOiIxNzU3NjE1MDc0In0=</vt:lpwstr>
  </property>
</Properties>
</file>