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b/>
          <w:bCs/>
          <w:lang w:eastAsia="zh-CN"/>
        </w:rPr>
      </w:pPr>
      <w:r>
        <w:rPr>
          <w:rFonts w:hint="eastAsia"/>
          <w:b/>
          <w:bCs/>
          <w:lang w:eastAsia="zh-CN"/>
        </w:rPr>
        <w:t>附件</w:t>
      </w:r>
      <w:r>
        <w:rPr>
          <w:rFonts w:hint="eastAsia"/>
          <w:b/>
          <w:bCs/>
          <w:lang w:val="en-US" w:eastAsia="zh-CN"/>
        </w:rPr>
        <w:t>1</w:t>
      </w:r>
      <w:r>
        <w:rPr>
          <w:rFonts w:hint="eastAsia"/>
          <w:b/>
          <w:bCs/>
          <w:lang w:eastAsia="zh-CN"/>
        </w:rPr>
        <w:t>：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额尔古纳市残疾儿童基本康复项目及补助救助标准</w:t>
      </w:r>
    </w:p>
    <w:tbl>
      <w:tblPr>
        <w:tblStyle w:val="4"/>
        <w:tblW w:w="1384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0"/>
        <w:gridCol w:w="1365"/>
        <w:gridCol w:w="2368"/>
        <w:gridCol w:w="6622"/>
        <w:gridCol w:w="27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9" w:hRule="atLeast"/>
        </w:trPr>
        <w:tc>
          <w:tcPr>
            <w:tcW w:w="750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vertAlign w:val="baseline"/>
                <w:lang w:eastAsia="zh-CN"/>
              </w:rPr>
              <w:t>序号</w:t>
            </w:r>
          </w:p>
        </w:tc>
        <w:tc>
          <w:tcPr>
            <w:tcW w:w="1365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vertAlign w:val="baseline"/>
                <w:lang w:eastAsia="zh-CN"/>
              </w:rPr>
              <w:t>服务对象</w:t>
            </w:r>
          </w:p>
          <w:p>
            <w:pPr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vertAlign w:val="baseline"/>
                <w:lang w:val="en-US" w:eastAsia="zh-CN"/>
              </w:rPr>
              <w:t>（0-7岁）</w:t>
            </w:r>
          </w:p>
        </w:tc>
        <w:tc>
          <w:tcPr>
            <w:tcW w:w="2368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vertAlign w:val="baseline"/>
                <w:lang w:eastAsia="zh-CN"/>
              </w:rPr>
              <w:t>服务项目</w:t>
            </w:r>
          </w:p>
        </w:tc>
        <w:tc>
          <w:tcPr>
            <w:tcW w:w="6622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vertAlign w:val="baseline"/>
                <w:lang w:eastAsia="zh-CN"/>
              </w:rPr>
              <w:t>服务内容</w:t>
            </w:r>
          </w:p>
        </w:tc>
        <w:tc>
          <w:tcPr>
            <w:tcW w:w="2743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vertAlign w:val="baseline"/>
                <w:lang w:eastAsia="zh-CN"/>
              </w:rPr>
              <w:t>补助标准</w:t>
            </w:r>
          </w:p>
          <w:p>
            <w:pPr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vertAlign w:val="baseline"/>
                <w:lang w:eastAsia="zh-CN"/>
              </w:rPr>
              <w:t>国家</w:t>
            </w: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vertAlign w:val="baseline"/>
                <w:lang w:val="en-US" w:eastAsia="zh-CN"/>
              </w:rPr>
              <w:t>/自治区</w:t>
            </w: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vertAlign w:val="baseline"/>
                <w:lang w:eastAsia="zh-CN"/>
              </w:rPr>
              <w:t>（</w:t>
            </w: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vertAlign w:val="baseline"/>
                <w:lang w:val="en-US" w:eastAsia="zh-CN"/>
              </w:rPr>
              <w:t>万元</w:t>
            </w: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vertAlign w:val="baseline"/>
                <w:lang w:eastAsia="zh-CN"/>
              </w:rPr>
              <w:t>）</w:t>
            </w:r>
          </w:p>
          <w:p>
            <w:pPr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vertAlign w:val="baseline"/>
                <w:lang w:eastAsia="zh-CN"/>
              </w:rPr>
              <w:t>（</w:t>
            </w: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vertAlign w:val="baseline"/>
                <w:lang w:val="en-US" w:eastAsia="zh-CN"/>
              </w:rPr>
              <w:t>0-7岁</w:t>
            </w: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vertAlign w:val="baseline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</w:trPr>
        <w:tc>
          <w:tcPr>
            <w:tcW w:w="750" w:type="dxa"/>
            <w:vMerge w:val="restart"/>
            <w:noWrap w:val="0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365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低视力</w:t>
            </w:r>
          </w:p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儿童</w:t>
            </w:r>
          </w:p>
        </w:tc>
        <w:tc>
          <w:tcPr>
            <w:tcW w:w="2368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辅助器具适配</w:t>
            </w:r>
          </w:p>
        </w:tc>
        <w:tc>
          <w:tcPr>
            <w:tcW w:w="6622" w:type="dxa"/>
            <w:noWrap w:val="0"/>
            <w:vAlign w:val="center"/>
          </w:tcPr>
          <w:p>
            <w:pPr>
              <w:jc w:val="both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基本型远距离助视器、近距离助视器；助视器适应性训练</w:t>
            </w:r>
          </w:p>
        </w:tc>
        <w:tc>
          <w:tcPr>
            <w:tcW w:w="2743" w:type="dxa"/>
            <w:noWrap w:val="0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0.2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</w:trPr>
        <w:tc>
          <w:tcPr>
            <w:tcW w:w="750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365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2368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视功能训练</w:t>
            </w:r>
          </w:p>
        </w:tc>
        <w:tc>
          <w:tcPr>
            <w:tcW w:w="6622" w:type="dxa"/>
            <w:noWrap w:val="0"/>
            <w:vAlign w:val="center"/>
          </w:tcPr>
          <w:p>
            <w:pPr>
              <w:jc w:val="both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功能评估：视觉基本技能训练（含固定注视、定位注视、视觉跟踪与追踪、视觉搜寻训练）。</w:t>
            </w:r>
          </w:p>
        </w:tc>
        <w:tc>
          <w:tcPr>
            <w:tcW w:w="2743" w:type="dxa"/>
            <w:noWrap w:val="0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0.2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</w:trPr>
        <w:tc>
          <w:tcPr>
            <w:tcW w:w="750" w:type="dxa"/>
            <w:vMerge w:val="restart"/>
            <w:noWrap w:val="0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365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听力残疾儿童</w:t>
            </w:r>
          </w:p>
        </w:tc>
        <w:tc>
          <w:tcPr>
            <w:tcW w:w="2368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人工耳蜗</w:t>
            </w:r>
          </w:p>
        </w:tc>
        <w:tc>
          <w:tcPr>
            <w:tcW w:w="6622" w:type="dxa"/>
            <w:noWrap w:val="0"/>
            <w:vAlign w:val="center"/>
          </w:tcPr>
          <w:p>
            <w:pPr>
              <w:jc w:val="both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人工耳蜗植入、调机、听觉言语功能训练，标准参见《人工耳蜗植入工作指南（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2013年版</w:t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）》（中华医学会编著）。</w:t>
            </w:r>
          </w:p>
        </w:tc>
        <w:tc>
          <w:tcPr>
            <w:tcW w:w="2743" w:type="dxa"/>
            <w:noWrap w:val="0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8.85（自治区项目）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</w:trPr>
        <w:tc>
          <w:tcPr>
            <w:tcW w:w="750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365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2368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助听器</w:t>
            </w:r>
          </w:p>
        </w:tc>
        <w:tc>
          <w:tcPr>
            <w:tcW w:w="6622" w:type="dxa"/>
            <w:noWrap w:val="0"/>
            <w:vAlign w:val="center"/>
          </w:tcPr>
          <w:p>
            <w:pPr>
              <w:jc w:val="both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助听器配戴，调试、听觉言语功能训练</w:t>
            </w:r>
          </w:p>
        </w:tc>
        <w:tc>
          <w:tcPr>
            <w:tcW w:w="2743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1.0（自治区项目）</w:t>
            </w:r>
          </w:p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或1.92（国家项目）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1" w:hRule="atLeast"/>
        </w:trPr>
        <w:tc>
          <w:tcPr>
            <w:tcW w:w="750" w:type="dxa"/>
            <w:vMerge w:val="restart"/>
            <w:noWrap w:val="0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1365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肢体残疾儿童</w:t>
            </w:r>
          </w:p>
        </w:tc>
        <w:tc>
          <w:tcPr>
            <w:tcW w:w="2368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矫治手术</w:t>
            </w:r>
          </w:p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及训练</w:t>
            </w:r>
          </w:p>
        </w:tc>
        <w:tc>
          <w:tcPr>
            <w:tcW w:w="6622" w:type="dxa"/>
            <w:noWrap w:val="0"/>
            <w:vAlign w:val="center"/>
          </w:tcPr>
          <w:p>
            <w:pPr>
              <w:jc w:val="both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先天性马蹄内翻足等、足畸形小儿麻痹后遗症、脑瘫导致严重痉挛、肌腱挛缩、关节畸形及脱位、脊柱裂导致下肢畸形等矫治手术。标准参见《临床诊疗指南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-小儿外科学分册</w:t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》（中华医学会编著，人民卫生出版社）、《临床技术操作规范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-小儿外科学分册》（中华医学会编著，人民军医出版社</w:t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）</w:t>
            </w:r>
          </w:p>
        </w:tc>
        <w:tc>
          <w:tcPr>
            <w:tcW w:w="2743" w:type="dxa"/>
            <w:noWrap w:val="0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1.32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1" w:hRule="atLeast"/>
        </w:trPr>
        <w:tc>
          <w:tcPr>
            <w:tcW w:w="750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365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2368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辅助器具适配</w:t>
            </w:r>
          </w:p>
        </w:tc>
        <w:tc>
          <w:tcPr>
            <w:tcW w:w="6622" w:type="dxa"/>
            <w:noWrap w:val="0"/>
            <w:vAlign w:val="center"/>
          </w:tcPr>
          <w:p>
            <w:pPr>
              <w:jc w:val="both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根据评估结果选择适配基本型假肢、矫形器、轮椅、助行器、坐姿椅、站立架等辅助器具。</w:t>
            </w:r>
          </w:p>
        </w:tc>
        <w:tc>
          <w:tcPr>
            <w:tcW w:w="2743" w:type="dxa"/>
            <w:noWrap w:val="0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0.12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1" w:hRule="atLeast"/>
        </w:trPr>
        <w:tc>
          <w:tcPr>
            <w:tcW w:w="750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1365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肢体残疾儿童</w:t>
            </w:r>
          </w:p>
        </w:tc>
        <w:tc>
          <w:tcPr>
            <w:tcW w:w="2368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运动及适应训练</w:t>
            </w:r>
          </w:p>
        </w:tc>
        <w:tc>
          <w:tcPr>
            <w:tcW w:w="6622" w:type="dxa"/>
            <w:noWrap w:val="0"/>
            <w:vAlign w:val="center"/>
          </w:tcPr>
          <w:p>
            <w:pPr>
              <w:jc w:val="both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功能评估（含运动功能、言语、日常生活、社会参与能力等）；康复训练、包括维持关节活动度、增强肌力、语言锻炼、日常生活能力训练、社会参与能力训练等。</w:t>
            </w:r>
          </w:p>
        </w:tc>
        <w:tc>
          <w:tcPr>
            <w:tcW w:w="2743" w:type="dxa"/>
            <w:noWrap w:val="0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0.75(自治区项目)或1.2（国家项目）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1" w:hRule="atLeast"/>
        </w:trPr>
        <w:tc>
          <w:tcPr>
            <w:tcW w:w="750" w:type="dxa"/>
            <w:noWrap w:val="0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1365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智力残疾儿童</w:t>
            </w:r>
          </w:p>
        </w:tc>
        <w:tc>
          <w:tcPr>
            <w:tcW w:w="2368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认知及适应训练</w:t>
            </w:r>
          </w:p>
        </w:tc>
        <w:tc>
          <w:tcPr>
            <w:tcW w:w="6622" w:type="dxa"/>
            <w:noWrap w:val="0"/>
            <w:vAlign w:val="center"/>
          </w:tcPr>
          <w:p>
            <w:pPr>
              <w:jc w:val="both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功能评估（含认知、生活自理和社会适应能力等）；康复训练，包括认知、生活自理和社会适应能力等。</w:t>
            </w:r>
          </w:p>
        </w:tc>
        <w:tc>
          <w:tcPr>
            <w:tcW w:w="2743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0.75(自治区项目)或1.2（国家项目）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1" w:hRule="atLeast"/>
        </w:trPr>
        <w:tc>
          <w:tcPr>
            <w:tcW w:w="750" w:type="dxa"/>
            <w:noWrap w:val="0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1365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孤独症</w:t>
            </w:r>
          </w:p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儿童</w:t>
            </w:r>
          </w:p>
        </w:tc>
        <w:tc>
          <w:tcPr>
            <w:tcW w:w="2368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沟通及适应训练</w:t>
            </w:r>
          </w:p>
        </w:tc>
        <w:tc>
          <w:tcPr>
            <w:tcW w:w="6622" w:type="dxa"/>
            <w:noWrap w:val="0"/>
            <w:vAlign w:val="center"/>
          </w:tcPr>
          <w:p>
            <w:pPr>
              <w:jc w:val="both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功能训练（含言语沟通、社交能力、生活自理等）；康复训练，包括言语沟通、社交能力、生活自理能力等。</w:t>
            </w:r>
          </w:p>
        </w:tc>
        <w:tc>
          <w:tcPr>
            <w:tcW w:w="2743" w:type="dxa"/>
            <w:noWrap w:val="0"/>
            <w:vAlign w:val="center"/>
          </w:tcPr>
          <w:p>
            <w:pPr>
              <w:jc w:val="center"/>
              <w:rPr>
                <w:rFonts w:hint="eastAsia" w:ascii="Calibri" w:hAnsi="Calibri" w:eastAsia="宋体" w:cs="Times New Roman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0.75(自治区项目)或1.2（国家项目）</w:t>
            </w:r>
          </w:p>
        </w:tc>
      </w:tr>
    </w:tbl>
    <w:p>
      <w:pPr>
        <w:rPr>
          <w:rFonts w:hint="eastAsia"/>
          <w:sz w:val="24"/>
          <w:szCs w:val="24"/>
          <w:lang w:eastAsia="zh-CN"/>
        </w:rPr>
      </w:pPr>
    </w:p>
    <w:p>
      <w:pPr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eastAsia="zh-CN"/>
        </w:rPr>
        <w:t>注：除人工耳蜗项目外，</w:t>
      </w:r>
      <w:r>
        <w:rPr>
          <w:rFonts w:hint="eastAsia"/>
          <w:sz w:val="24"/>
          <w:szCs w:val="24"/>
          <w:lang w:val="en-US" w:eastAsia="zh-CN"/>
        </w:rPr>
        <w:t>0-6岁残疾儿童享受国家项目，7岁残疾儿童享受自治区项目。辅具适配按国家/自治区项目执行，免费适配辅具，不予资金救助。</w:t>
      </w:r>
    </w:p>
    <w:p>
      <w:pPr>
        <w:jc w:val="left"/>
        <w:rPr>
          <w:rFonts w:hint="eastAsia" w:ascii="仿宋" w:hAnsi="仿宋" w:eastAsia="仿宋"/>
          <w:color w:val="auto"/>
          <w:sz w:val="32"/>
          <w:szCs w:val="32"/>
          <w:lang w:val="en-US" w:eastAsia="zh-CN"/>
        </w:rPr>
      </w:pPr>
    </w:p>
    <w:p>
      <w:pPr>
        <w:jc w:val="left"/>
        <w:rPr>
          <w:rFonts w:hint="eastAsia" w:ascii="仿宋" w:hAnsi="仿宋" w:eastAsia="仿宋"/>
          <w:color w:val="auto"/>
          <w:sz w:val="32"/>
          <w:szCs w:val="32"/>
          <w:lang w:val="en-US" w:eastAsia="zh-CN"/>
        </w:rPr>
      </w:pPr>
    </w:p>
    <w:p>
      <w:pPr>
        <w:jc w:val="left"/>
        <w:rPr>
          <w:rFonts w:hint="eastAsia" w:ascii="仿宋" w:hAnsi="仿宋" w:eastAsia="仿宋"/>
          <w:color w:val="auto"/>
          <w:sz w:val="32"/>
          <w:szCs w:val="32"/>
          <w:lang w:val="en-US" w:eastAsia="zh-CN"/>
        </w:rPr>
      </w:pPr>
    </w:p>
    <w:p>
      <w:pPr>
        <w:jc w:val="left"/>
        <w:rPr>
          <w:rFonts w:hint="eastAsia" w:ascii="仿宋" w:hAnsi="仿宋" w:eastAsia="仿宋"/>
          <w:color w:val="auto"/>
          <w:sz w:val="32"/>
          <w:szCs w:val="32"/>
          <w:lang w:val="en-US" w:eastAsia="zh-CN"/>
        </w:rPr>
      </w:pPr>
    </w:p>
    <w:p>
      <w:pPr>
        <w:jc w:val="left"/>
        <w:rPr>
          <w:rFonts w:hint="eastAsia" w:ascii="仿宋" w:hAnsi="仿宋" w:eastAsia="仿宋"/>
          <w:color w:val="auto"/>
          <w:sz w:val="32"/>
          <w:szCs w:val="32"/>
          <w:lang w:val="en-US" w:eastAsia="zh-CN"/>
        </w:rPr>
        <w:sectPr>
          <w:footerReference r:id="rId3" w:type="default"/>
          <w:pgSz w:w="16838" w:h="11906" w:orient="landscape"/>
          <w:pgMar w:top="1803" w:right="1440" w:bottom="1803" w:left="1440" w:header="851" w:footer="992" w:gutter="0"/>
          <w:pgNumType w:fmt="numberInDash"/>
          <w:cols w:space="720" w:num="1"/>
          <w:rtlGutter w:val="0"/>
          <w:docGrid w:type="lines" w:linePitch="319" w:charSpace="0"/>
        </w:sect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right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2"/>
                            <w:jc w:val="right"/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PAGE   \* MERGEFORMAT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zh-CN"/>
                            </w:rPr>
                            <w:t>4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  <w:p/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jGflsaAgAAIQQAAA4AAABkcnMvZTJvRG9jLnhtbK1TzY7TMBC+I/EO&#10;lu80aRGrqmq6KrsqQqrYlQri7Dp2Y8n2WLbbpDwAvAEnLtx5rj4HYyfpIuCEuNhjz/833yxvO6PJ&#10;SfigwFZ0OikpEZZDreyhoh/eb17MKQmR2ZppsKKiZxHo7er5s2XrFmIGDehaeIJBbFi0rqJNjG5R&#10;FIE3wrAwAScsKiV4wyI+/aGoPWsxutHFrCxvihZ87TxwEQL+3vdKusrxpRQ8PkgZRCS6olhbzKfP&#10;5z6dxWrJFgfPXKP4UAb7hyoMUxaTXkPds8jI0as/QhnFPQSQccLBFCCl4iL3gN1My9+62TXMidwL&#10;ghPcFabw/8Lyd6dHT1Rd0Rkllhkc0eXrl8u3H5fvn8kswdO6sECrnUO72L2GDsc8/gf8TF130pt0&#10;Yz8E9Qj0+Qqu6CLhyWk+m89LVHHUjQ+MXzy5Ox/iGwGGJKGiHqeXQWWnbYi96WiSslnYKK3zBLUl&#10;bUVvXr4qs8NVg8G1TbYic2EIk1rqS09S7Pbd0Oce6jO26aHnSXB8o7CULQvxkXkkBpaPZI8PeEgN&#10;mBIGiZIG/Ke//Sd7nBdqKWmRaBW1uAmU6LcW55g4OQp+FPajYI/mDpC5U1wix7OIDj7qUZQezEfc&#10;gHXKgSpmOWaqaBzFu9iTHTeIi/U6Gx2dV4emd0AWOha3dud4SpOgCm59jAhtRjwB1KOCk0oP5GGe&#10;2bAziei/vrPV02avfgJ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CzSVju0AAAAAUBAAAPAAAAAAAA&#10;AAEAIAAAACIAAABkcnMvZG93bnJldi54bWxQSwECFAAUAAAACACHTuJAyMZ+WxoCAAAhBAAADgAA&#10;AAAAAAABACAAAAAfAQAAZHJzL2Uyb0RvYy54bWxQSwUGAAAAAAYABgBZAQAAqwUAAAAA&#10;">
              <v:path/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jc w:val="right"/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PAGE   \* MERGEFORMAT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zh-CN"/>
                      </w:rPr>
                      <w:t>4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  <w:p/>
                </w:txbxContent>
              </v:textbox>
            </v:shape>
          </w:pict>
        </mc:Fallback>
      </mc:AlternateContent>
    </w: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345AE1"/>
    <w:rsid w:val="21345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2020-08-25T02:20:00Z</dcterms:created>
  <dc:creator>百疆</dc:creator>
  <cp:lastModifiedBy>百疆</cp:lastModifiedBy>
  <dcterms:modified xsi:type="dcterms:W3CDTF">2020-08-25T02:20:28Z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